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64185" w14:textId="51E31068" w:rsidR="008525A1" w:rsidRPr="00F14417" w:rsidRDefault="007935AB" w:rsidP="00EF347A">
      <w:pPr>
        <w:jc w:val="center"/>
        <w:rPr>
          <w:b/>
          <w:bCs/>
        </w:rPr>
      </w:pPr>
      <w:r w:rsidRPr="00F14417">
        <w:rPr>
          <w:b/>
          <w:bCs/>
        </w:rPr>
        <w:t>Department of Rehabilitation</w:t>
      </w:r>
    </w:p>
    <w:p w14:paraId="497D8FA4" w14:textId="77777777" w:rsidR="00F14417" w:rsidRPr="00F14417" w:rsidRDefault="00E62F45" w:rsidP="00EF347A">
      <w:pPr>
        <w:jc w:val="center"/>
        <w:rPr>
          <w:b/>
          <w:bCs/>
        </w:rPr>
      </w:pPr>
      <w:r w:rsidRPr="00F14417">
        <w:rPr>
          <w:b/>
          <w:bCs/>
        </w:rPr>
        <w:t>Guidelines</w:t>
      </w:r>
      <w:r w:rsidR="007C4384" w:rsidRPr="00F14417">
        <w:rPr>
          <w:b/>
          <w:bCs/>
        </w:rPr>
        <w:t xml:space="preserve"> </w:t>
      </w:r>
      <w:r w:rsidR="00E61CE5" w:rsidRPr="00F14417">
        <w:rPr>
          <w:b/>
          <w:bCs/>
        </w:rPr>
        <w:t>for</w:t>
      </w:r>
      <w:r w:rsidR="007C4384" w:rsidRPr="00F14417">
        <w:rPr>
          <w:b/>
          <w:bCs/>
        </w:rPr>
        <w:t xml:space="preserve"> </w:t>
      </w:r>
      <w:r w:rsidR="00A544DD" w:rsidRPr="00F14417">
        <w:rPr>
          <w:b/>
          <w:bCs/>
        </w:rPr>
        <w:t xml:space="preserve">Procuring </w:t>
      </w:r>
      <w:r w:rsidR="00E61CE5" w:rsidRPr="00F14417">
        <w:rPr>
          <w:b/>
          <w:bCs/>
        </w:rPr>
        <w:t xml:space="preserve">Assistive </w:t>
      </w:r>
    </w:p>
    <w:p w14:paraId="7654F880" w14:textId="1F06CCE1" w:rsidR="00EF347A" w:rsidRPr="00F14417" w:rsidRDefault="00E61CE5" w:rsidP="00EF347A">
      <w:pPr>
        <w:jc w:val="center"/>
        <w:rPr>
          <w:b/>
          <w:bCs/>
        </w:rPr>
      </w:pPr>
      <w:r w:rsidRPr="00F14417">
        <w:rPr>
          <w:b/>
          <w:bCs/>
        </w:rPr>
        <w:t>Technolog</w:t>
      </w:r>
      <w:r w:rsidR="00B7193E" w:rsidRPr="00F14417">
        <w:rPr>
          <w:b/>
          <w:bCs/>
        </w:rPr>
        <w:t>ies</w:t>
      </w:r>
      <w:r w:rsidR="00F14417" w:rsidRPr="00F14417">
        <w:rPr>
          <w:b/>
          <w:bCs/>
        </w:rPr>
        <w:t>,</w:t>
      </w:r>
      <w:r w:rsidR="00B7193E" w:rsidRPr="00F14417">
        <w:rPr>
          <w:b/>
          <w:bCs/>
        </w:rPr>
        <w:t xml:space="preserve"> </w:t>
      </w:r>
      <w:r w:rsidR="004E0535" w:rsidRPr="00F14417">
        <w:rPr>
          <w:b/>
          <w:bCs/>
        </w:rPr>
        <w:t>Goods</w:t>
      </w:r>
      <w:r w:rsidR="00F14417" w:rsidRPr="00F14417">
        <w:rPr>
          <w:b/>
          <w:bCs/>
        </w:rPr>
        <w:t>,</w:t>
      </w:r>
      <w:r w:rsidR="004E0535" w:rsidRPr="00F14417">
        <w:rPr>
          <w:b/>
          <w:bCs/>
        </w:rPr>
        <w:t xml:space="preserve"> and </w:t>
      </w:r>
      <w:r w:rsidR="00B7193E" w:rsidRPr="00F14417">
        <w:rPr>
          <w:b/>
          <w:bCs/>
        </w:rPr>
        <w:t>Services</w:t>
      </w:r>
    </w:p>
    <w:p w14:paraId="05F6F0D5" w14:textId="7FF62798" w:rsidR="00EF347A" w:rsidRPr="00F14417" w:rsidRDefault="00EE060F" w:rsidP="00EF347A">
      <w:pPr>
        <w:jc w:val="center"/>
        <w:rPr>
          <w:b/>
          <w:bCs/>
        </w:rPr>
      </w:pPr>
      <w:r w:rsidRPr="00F14417">
        <w:rPr>
          <w:b/>
          <w:bCs/>
        </w:rPr>
        <w:t>(</w:t>
      </w:r>
      <w:r w:rsidR="00A07FCE" w:rsidRPr="00F14417">
        <w:rPr>
          <w:b/>
          <w:bCs/>
        </w:rPr>
        <w:t>December 2021)</w:t>
      </w:r>
    </w:p>
    <w:p w14:paraId="2159E7B5" w14:textId="77777777" w:rsidR="00EF347A" w:rsidRDefault="00EF347A" w:rsidP="00EF347A">
      <w:pPr>
        <w:jc w:val="center"/>
      </w:pPr>
    </w:p>
    <w:p w14:paraId="05506F73" w14:textId="4C40F3D3" w:rsidR="006943EA" w:rsidRDefault="006943EA" w:rsidP="009668C8">
      <w:pPr>
        <w:pStyle w:val="PlainText"/>
        <w:spacing w:after="240"/>
        <w:rPr>
          <w:rFonts w:ascii="Arial" w:hAnsi="Arial" w:cs="Arial"/>
          <w:sz w:val="28"/>
          <w:szCs w:val="28"/>
        </w:rPr>
      </w:pPr>
      <w:r w:rsidRPr="006943EA">
        <w:rPr>
          <w:rFonts w:ascii="Arial" w:hAnsi="Arial" w:cs="Arial"/>
          <w:sz w:val="28"/>
          <w:szCs w:val="28"/>
        </w:rPr>
        <w:t>The goal of the Department of Rehabilitation (DOR), as well as the California Assistive Technologies, Services, and Devices (Cal-ATSD) Suppliers Program, is to promote the timely delivery of assistive technology and related services by qualified suppliers</w:t>
      </w:r>
      <w:r w:rsidR="008E5247">
        <w:rPr>
          <w:rFonts w:ascii="Arial" w:hAnsi="Arial" w:cs="Arial"/>
          <w:sz w:val="28"/>
          <w:szCs w:val="28"/>
        </w:rPr>
        <w:t>/evaluators</w:t>
      </w:r>
      <w:r w:rsidRPr="006943EA">
        <w:rPr>
          <w:rFonts w:ascii="Arial" w:hAnsi="Arial" w:cs="Arial"/>
          <w:sz w:val="28"/>
          <w:szCs w:val="28"/>
        </w:rPr>
        <w:t xml:space="preserve"> so that state employees with disabilities and DOR consumers can gain the benefits of reasonable accommodation through very specialized products and services designed to meet their individual needs with the least associated processes and steps possible</w:t>
      </w:r>
      <w:r w:rsidR="00CA5D9F">
        <w:rPr>
          <w:rFonts w:ascii="Arial" w:hAnsi="Arial" w:cs="Arial"/>
          <w:sz w:val="28"/>
          <w:szCs w:val="28"/>
        </w:rPr>
        <w:t>.</w:t>
      </w:r>
    </w:p>
    <w:p w14:paraId="3DE085B8" w14:textId="37C0C76E" w:rsidR="007C4384" w:rsidRPr="007C4384" w:rsidRDefault="009B2404" w:rsidP="007C4384">
      <w:pPr>
        <w:pStyle w:val="PlainText"/>
        <w:spacing w:after="240"/>
        <w:rPr>
          <w:rFonts w:ascii="Arial" w:hAnsi="Arial" w:cs="Arial"/>
          <w:sz w:val="28"/>
          <w:szCs w:val="28"/>
        </w:rPr>
      </w:pPr>
      <w:r w:rsidRPr="00094BBC">
        <w:rPr>
          <w:rFonts w:ascii="Arial" w:hAnsi="Arial" w:cs="Arial"/>
          <w:sz w:val="28"/>
          <w:szCs w:val="28"/>
        </w:rPr>
        <w:t xml:space="preserve">Consumer Participation in Evaluation - </w:t>
      </w:r>
      <w:r w:rsidR="0076169D" w:rsidRPr="00094BBC">
        <w:rPr>
          <w:rFonts w:ascii="Arial" w:hAnsi="Arial" w:cs="Arial"/>
          <w:sz w:val="28"/>
          <w:szCs w:val="28"/>
        </w:rPr>
        <w:t>To ensure that each individual has the opportunity to exercise Informed Choice (34 CFR §361.52),</w:t>
      </w:r>
      <w:r w:rsidR="0076169D" w:rsidRPr="0076169D">
        <w:rPr>
          <w:rFonts w:ascii="Arial" w:hAnsi="Arial" w:cs="Arial"/>
          <w:b/>
          <w:bCs/>
          <w:sz w:val="28"/>
          <w:szCs w:val="28"/>
        </w:rPr>
        <w:t xml:space="preserve"> </w:t>
      </w:r>
      <w:r w:rsidR="0076169D">
        <w:rPr>
          <w:rFonts w:ascii="Arial" w:hAnsi="Arial" w:cs="Arial"/>
          <w:sz w:val="28"/>
          <w:szCs w:val="28"/>
        </w:rPr>
        <w:t>p</w:t>
      </w:r>
      <w:r w:rsidR="007C4384" w:rsidRPr="007C4384">
        <w:rPr>
          <w:rFonts w:ascii="Arial" w:hAnsi="Arial" w:cs="Arial"/>
          <w:sz w:val="28"/>
          <w:szCs w:val="28"/>
        </w:rPr>
        <w:t>articipation of the consumer in the evaluation process is paramount</w:t>
      </w:r>
      <w:r w:rsidR="00AC049A">
        <w:rPr>
          <w:rFonts w:ascii="Arial" w:hAnsi="Arial" w:cs="Arial"/>
          <w:sz w:val="28"/>
          <w:szCs w:val="28"/>
        </w:rPr>
        <w:t xml:space="preserve"> and consumers should play an active role in the selection of devices.</w:t>
      </w:r>
    </w:p>
    <w:p w14:paraId="02019B95" w14:textId="5CCE7215" w:rsidR="00B63B45" w:rsidRDefault="00B63B45" w:rsidP="00B63B45">
      <w:pPr>
        <w:pStyle w:val="PlainText"/>
        <w:spacing w:after="240"/>
        <w:rPr>
          <w:rFonts w:ascii="Arial" w:hAnsi="Arial" w:cs="Arial"/>
          <w:sz w:val="28"/>
          <w:szCs w:val="28"/>
        </w:rPr>
      </w:pPr>
      <w:r w:rsidRPr="00B63B45">
        <w:rPr>
          <w:rFonts w:ascii="Arial" w:hAnsi="Arial" w:cs="Arial"/>
          <w:sz w:val="28"/>
          <w:szCs w:val="28"/>
        </w:rPr>
        <w:t xml:space="preserve">It is the </w:t>
      </w:r>
      <w:r w:rsidR="00365983">
        <w:rPr>
          <w:rFonts w:ascii="Arial" w:hAnsi="Arial" w:cs="Arial"/>
          <w:sz w:val="28"/>
          <w:szCs w:val="28"/>
        </w:rPr>
        <w:t xml:space="preserve">internal </w:t>
      </w:r>
      <w:r w:rsidRPr="00B63B45">
        <w:rPr>
          <w:rFonts w:ascii="Arial" w:hAnsi="Arial" w:cs="Arial"/>
          <w:sz w:val="28"/>
          <w:szCs w:val="28"/>
        </w:rPr>
        <w:t>policy of the Department of Rehabilitation (DOR) to use Community Rehabilitation Programs (CRPs) and existing community resource</w:t>
      </w:r>
      <w:r w:rsidR="00394E03">
        <w:rPr>
          <w:rFonts w:ascii="Arial" w:hAnsi="Arial" w:cs="Arial"/>
          <w:sz w:val="28"/>
          <w:szCs w:val="28"/>
        </w:rPr>
        <w:t>s</w:t>
      </w:r>
      <w:r w:rsidRPr="00B63B45">
        <w:rPr>
          <w:rFonts w:ascii="Arial" w:hAnsi="Arial" w:cs="Arial"/>
          <w:sz w:val="28"/>
          <w:szCs w:val="28"/>
        </w:rPr>
        <w:t xml:space="preserve"> to meet the service needs of our consumers, with CRPs being the primary and preferred providers. This rule is in place based on the stringent accreditation, certification, and documentation that CRPs undergo before providing quality services to DOR consumers in a timely and cost-effective manner. </w:t>
      </w:r>
    </w:p>
    <w:p w14:paraId="2913974E" w14:textId="66CE4190" w:rsidR="00523378" w:rsidRPr="00B63B45" w:rsidRDefault="00523378" w:rsidP="00B63B45">
      <w:pPr>
        <w:pStyle w:val="PlainText"/>
        <w:spacing w:after="240"/>
        <w:rPr>
          <w:rFonts w:ascii="Arial" w:hAnsi="Arial" w:cs="Arial"/>
          <w:sz w:val="28"/>
          <w:szCs w:val="28"/>
        </w:rPr>
      </w:pPr>
      <w:r>
        <w:rPr>
          <w:rFonts w:ascii="Arial" w:hAnsi="Arial" w:cs="Arial"/>
          <w:sz w:val="28"/>
          <w:szCs w:val="28"/>
        </w:rPr>
        <w:t xml:space="preserve">While it is DOR’s internal policy to use CRP’s and other community </w:t>
      </w:r>
      <w:r w:rsidR="003319BB">
        <w:rPr>
          <w:rFonts w:ascii="Arial" w:hAnsi="Arial" w:cs="Arial"/>
          <w:sz w:val="28"/>
          <w:szCs w:val="28"/>
        </w:rPr>
        <w:t xml:space="preserve">resources </w:t>
      </w:r>
      <w:r>
        <w:rPr>
          <w:rFonts w:ascii="Arial" w:hAnsi="Arial" w:cs="Arial"/>
          <w:sz w:val="28"/>
          <w:szCs w:val="28"/>
        </w:rPr>
        <w:t xml:space="preserve">first, DOR employees </w:t>
      </w:r>
      <w:r w:rsidR="004451A1">
        <w:rPr>
          <w:rFonts w:ascii="Arial" w:hAnsi="Arial" w:cs="Arial"/>
          <w:sz w:val="28"/>
          <w:szCs w:val="28"/>
        </w:rPr>
        <w:t xml:space="preserve">are </w:t>
      </w:r>
      <w:r w:rsidR="004451A1" w:rsidRPr="00552FF5">
        <w:rPr>
          <w:rFonts w:ascii="Arial" w:hAnsi="Arial" w:cs="Arial"/>
          <w:sz w:val="28"/>
          <w:szCs w:val="28"/>
        </w:rPr>
        <w:t>not able</w:t>
      </w:r>
      <w:r w:rsidRPr="00552FF5">
        <w:rPr>
          <w:rFonts w:ascii="Arial" w:hAnsi="Arial" w:cs="Arial"/>
          <w:sz w:val="28"/>
          <w:szCs w:val="28"/>
        </w:rPr>
        <w:t xml:space="preserve"> </w:t>
      </w:r>
      <w:r w:rsidR="009C3154" w:rsidRPr="00552FF5">
        <w:rPr>
          <w:rFonts w:ascii="Arial" w:hAnsi="Arial" w:cs="Arial"/>
          <w:sz w:val="28"/>
          <w:szCs w:val="28"/>
        </w:rPr>
        <w:t xml:space="preserve">to </w:t>
      </w:r>
      <w:r w:rsidRPr="00552FF5">
        <w:rPr>
          <w:rFonts w:ascii="Arial" w:hAnsi="Arial" w:cs="Arial"/>
          <w:sz w:val="28"/>
          <w:szCs w:val="28"/>
        </w:rPr>
        <w:t>receive services from CRPs</w:t>
      </w:r>
      <w:r w:rsidR="00B944C3" w:rsidRPr="00552FF5">
        <w:rPr>
          <w:rFonts w:ascii="Arial" w:hAnsi="Arial" w:cs="Arial"/>
          <w:sz w:val="28"/>
          <w:szCs w:val="28"/>
        </w:rPr>
        <w:t>,</w:t>
      </w:r>
      <w:r w:rsidRPr="00552FF5">
        <w:rPr>
          <w:rFonts w:ascii="Arial" w:hAnsi="Arial" w:cs="Arial"/>
          <w:sz w:val="28"/>
          <w:szCs w:val="28"/>
        </w:rPr>
        <w:t xml:space="preserve"> and there are situations where a CRP</w:t>
      </w:r>
      <w:r w:rsidR="00605CBA" w:rsidRPr="00552FF5">
        <w:rPr>
          <w:rFonts w:ascii="Arial" w:hAnsi="Arial" w:cs="Arial"/>
          <w:sz w:val="28"/>
          <w:szCs w:val="28"/>
        </w:rPr>
        <w:t xml:space="preserve"> or </w:t>
      </w:r>
      <w:r w:rsidR="00605CBA" w:rsidRPr="00D43EA2">
        <w:rPr>
          <w:rFonts w:ascii="Arial" w:hAnsi="Arial" w:cs="Arial"/>
          <w:sz w:val="28"/>
          <w:szCs w:val="28"/>
        </w:rPr>
        <w:t>community resource</w:t>
      </w:r>
      <w:r w:rsidR="000D3632" w:rsidRPr="00D43EA2">
        <w:rPr>
          <w:rFonts w:ascii="Arial" w:hAnsi="Arial" w:cs="Arial"/>
          <w:sz w:val="28"/>
          <w:szCs w:val="28"/>
        </w:rPr>
        <w:t xml:space="preserve"> partner</w:t>
      </w:r>
      <w:r w:rsidRPr="00552FF5">
        <w:rPr>
          <w:rFonts w:ascii="Arial" w:hAnsi="Arial" w:cs="Arial"/>
          <w:sz w:val="28"/>
          <w:szCs w:val="28"/>
        </w:rPr>
        <w:t xml:space="preserve"> </w:t>
      </w:r>
      <w:r w:rsidR="00353BC3" w:rsidRPr="00D43EA2">
        <w:rPr>
          <w:rFonts w:ascii="Arial" w:hAnsi="Arial" w:cs="Arial"/>
          <w:sz w:val="28"/>
          <w:szCs w:val="28"/>
        </w:rPr>
        <w:t>may not offer the vocational rehabilitation</w:t>
      </w:r>
      <w:r w:rsidR="00353BC3" w:rsidRPr="00353BC3">
        <w:rPr>
          <w:rFonts w:ascii="Arial" w:hAnsi="Arial" w:cs="Arial"/>
          <w:sz w:val="28"/>
          <w:szCs w:val="28"/>
        </w:rPr>
        <w:t xml:space="preserve"> services</w:t>
      </w:r>
      <w:r w:rsidR="003E5894">
        <w:rPr>
          <w:rFonts w:ascii="Arial" w:hAnsi="Arial" w:cs="Arial"/>
          <w:sz w:val="28"/>
          <w:szCs w:val="28"/>
        </w:rPr>
        <w:t xml:space="preserve"> or have the ability to</w:t>
      </w:r>
      <w:r w:rsidR="00C769B2">
        <w:rPr>
          <w:rFonts w:ascii="Arial" w:hAnsi="Arial" w:cs="Arial"/>
          <w:sz w:val="28"/>
          <w:szCs w:val="28"/>
        </w:rPr>
        <w:t xml:space="preserve"> provide timely services</w:t>
      </w:r>
      <w:r w:rsidR="00353BC3" w:rsidRPr="00353BC3">
        <w:rPr>
          <w:rFonts w:ascii="Arial" w:hAnsi="Arial" w:cs="Arial"/>
          <w:sz w:val="28"/>
          <w:szCs w:val="28"/>
        </w:rPr>
        <w:t xml:space="preserve"> needed by DOR consumers in a specific geographic area of the state.</w:t>
      </w:r>
      <w:r w:rsidR="00587388">
        <w:rPr>
          <w:rFonts w:ascii="Arial" w:hAnsi="Arial" w:cs="Arial"/>
          <w:sz w:val="28"/>
          <w:szCs w:val="28"/>
        </w:rPr>
        <w:t xml:space="preserve"> </w:t>
      </w:r>
      <w:r w:rsidRPr="00197DF4">
        <w:rPr>
          <w:rFonts w:ascii="Arial" w:hAnsi="Arial" w:cs="Arial"/>
          <w:sz w:val="28"/>
          <w:szCs w:val="28"/>
        </w:rPr>
        <w:t xml:space="preserve">In such situations, DOR </w:t>
      </w:r>
      <w:r>
        <w:rPr>
          <w:rFonts w:ascii="Arial" w:hAnsi="Arial" w:cs="Arial"/>
          <w:sz w:val="28"/>
          <w:szCs w:val="28"/>
        </w:rPr>
        <w:t xml:space="preserve">may use non-CRPs to provide assessments (i.e., Cal-ATSD suppliers). </w:t>
      </w:r>
      <w:r w:rsidR="00463F14" w:rsidRPr="00B63B45">
        <w:rPr>
          <w:rFonts w:ascii="Arial" w:hAnsi="Arial" w:cs="Arial"/>
          <w:sz w:val="28"/>
          <w:szCs w:val="28"/>
        </w:rPr>
        <w:t>However, in no case shall multiple service providers be authorized to concurrently provide the same service to a single consumer.</w:t>
      </w:r>
    </w:p>
    <w:p w14:paraId="0E718E54" w14:textId="18A25891" w:rsidR="00B63B45" w:rsidRPr="00B63B45" w:rsidRDefault="005F1E81" w:rsidP="00B63B45">
      <w:pPr>
        <w:pStyle w:val="PlainText"/>
        <w:spacing w:after="240"/>
        <w:rPr>
          <w:rFonts w:ascii="Arial" w:hAnsi="Arial" w:cs="Arial"/>
          <w:sz w:val="28"/>
          <w:szCs w:val="28"/>
        </w:rPr>
      </w:pPr>
      <w:r>
        <w:rPr>
          <w:rFonts w:ascii="Arial" w:hAnsi="Arial" w:cs="Arial"/>
          <w:sz w:val="28"/>
          <w:szCs w:val="28"/>
        </w:rPr>
        <w:t xml:space="preserve">Non-CRPs </w:t>
      </w:r>
      <w:r w:rsidR="00B63B45" w:rsidRPr="00B63B45">
        <w:rPr>
          <w:rFonts w:ascii="Arial" w:hAnsi="Arial" w:cs="Arial"/>
          <w:sz w:val="28"/>
          <w:szCs w:val="28"/>
        </w:rPr>
        <w:t xml:space="preserve">may be used in instances such as the following: </w:t>
      </w:r>
    </w:p>
    <w:p w14:paraId="356DD74D" w14:textId="76695F53" w:rsidR="00B63B45" w:rsidRPr="00B63B45" w:rsidRDefault="00B63B45" w:rsidP="00B63B45">
      <w:pPr>
        <w:pStyle w:val="PlainText"/>
        <w:spacing w:after="240"/>
        <w:rPr>
          <w:rFonts w:ascii="Arial" w:hAnsi="Arial" w:cs="Arial"/>
          <w:sz w:val="28"/>
          <w:szCs w:val="28"/>
        </w:rPr>
      </w:pPr>
      <w:r w:rsidRPr="00B63B45">
        <w:rPr>
          <w:rFonts w:ascii="Arial" w:hAnsi="Arial" w:cs="Arial"/>
          <w:sz w:val="28"/>
          <w:szCs w:val="28"/>
        </w:rPr>
        <w:t xml:space="preserve">1. There is a specific need for a service not offered by a CRP. </w:t>
      </w:r>
    </w:p>
    <w:p w14:paraId="51E973F2" w14:textId="32CE534B" w:rsidR="00B63B45" w:rsidRPr="00B63B45" w:rsidRDefault="00B63B45" w:rsidP="00B63B45">
      <w:pPr>
        <w:pStyle w:val="PlainText"/>
        <w:spacing w:after="240"/>
        <w:rPr>
          <w:rFonts w:ascii="Arial" w:hAnsi="Arial" w:cs="Arial"/>
          <w:sz w:val="28"/>
          <w:szCs w:val="28"/>
        </w:rPr>
      </w:pPr>
      <w:r w:rsidRPr="00B63B45">
        <w:rPr>
          <w:rFonts w:ascii="Arial" w:hAnsi="Arial" w:cs="Arial"/>
          <w:sz w:val="28"/>
          <w:szCs w:val="28"/>
        </w:rPr>
        <w:lastRenderedPageBreak/>
        <w:t xml:space="preserve">2. The needed service is not available from other community </w:t>
      </w:r>
      <w:r w:rsidR="00267ABB">
        <w:rPr>
          <w:rFonts w:ascii="Arial" w:hAnsi="Arial" w:cs="Arial"/>
          <w:sz w:val="28"/>
          <w:szCs w:val="28"/>
        </w:rPr>
        <w:t>resources</w:t>
      </w:r>
      <w:r w:rsidRPr="00B63B45">
        <w:rPr>
          <w:rFonts w:ascii="Arial" w:hAnsi="Arial" w:cs="Arial"/>
          <w:sz w:val="28"/>
          <w:szCs w:val="28"/>
        </w:rPr>
        <w:t xml:space="preserve">. </w:t>
      </w:r>
    </w:p>
    <w:p w14:paraId="59D623B1" w14:textId="76385DE1" w:rsidR="00197DF4" w:rsidRPr="007C4384" w:rsidRDefault="00B63B45" w:rsidP="00B63B45">
      <w:pPr>
        <w:pStyle w:val="PlainText"/>
        <w:spacing w:after="240"/>
        <w:rPr>
          <w:rFonts w:ascii="Arial" w:hAnsi="Arial" w:cs="Arial"/>
          <w:sz w:val="28"/>
          <w:szCs w:val="28"/>
        </w:rPr>
      </w:pPr>
      <w:r w:rsidRPr="00B63B45">
        <w:rPr>
          <w:rFonts w:ascii="Arial" w:hAnsi="Arial" w:cs="Arial"/>
          <w:sz w:val="28"/>
          <w:szCs w:val="28"/>
        </w:rPr>
        <w:t>3. There will be a significant delay in the delivery of service from a CRP or other community resource.</w:t>
      </w:r>
    </w:p>
    <w:p w14:paraId="104050DF" w14:textId="4944ABB4" w:rsidR="007C4384" w:rsidRDefault="00E91D50" w:rsidP="009668C8">
      <w:pPr>
        <w:pStyle w:val="PlainText"/>
        <w:spacing w:after="240"/>
        <w:rPr>
          <w:rFonts w:ascii="Arial" w:hAnsi="Arial" w:cs="Arial"/>
          <w:sz w:val="28"/>
          <w:szCs w:val="28"/>
        </w:rPr>
      </w:pPr>
      <w:r w:rsidRPr="005E307A">
        <w:rPr>
          <w:rFonts w:ascii="Arial" w:hAnsi="Arial" w:cs="Arial"/>
          <w:sz w:val="28"/>
          <w:szCs w:val="28"/>
        </w:rPr>
        <w:t xml:space="preserve">Set forth below are </w:t>
      </w:r>
      <w:r w:rsidR="00FA045D" w:rsidRPr="005E307A">
        <w:rPr>
          <w:rFonts w:ascii="Arial" w:hAnsi="Arial" w:cs="Arial"/>
          <w:sz w:val="28"/>
          <w:szCs w:val="28"/>
        </w:rPr>
        <w:t>guidelines</w:t>
      </w:r>
      <w:r w:rsidR="009A44CB">
        <w:rPr>
          <w:rFonts w:ascii="Arial" w:hAnsi="Arial" w:cs="Arial"/>
          <w:sz w:val="28"/>
          <w:szCs w:val="28"/>
        </w:rPr>
        <w:t xml:space="preserve"> established by</w:t>
      </w:r>
      <w:r w:rsidR="007935AB" w:rsidRPr="005E307A">
        <w:rPr>
          <w:rFonts w:ascii="Arial" w:hAnsi="Arial" w:cs="Arial"/>
          <w:sz w:val="28"/>
          <w:szCs w:val="28"/>
        </w:rPr>
        <w:t xml:space="preserve"> DOR governing assistive technology </w:t>
      </w:r>
      <w:r w:rsidRPr="005E307A">
        <w:rPr>
          <w:rFonts w:ascii="Arial" w:hAnsi="Arial" w:cs="Arial"/>
          <w:sz w:val="28"/>
          <w:szCs w:val="28"/>
        </w:rPr>
        <w:t>evaluations</w:t>
      </w:r>
      <w:r w:rsidR="007935AB" w:rsidRPr="005E307A">
        <w:rPr>
          <w:rFonts w:ascii="Arial" w:hAnsi="Arial" w:cs="Arial"/>
          <w:sz w:val="28"/>
          <w:szCs w:val="28"/>
        </w:rPr>
        <w:t xml:space="preserve"> for DOR consumer</w:t>
      </w:r>
      <w:r w:rsidR="001373D3">
        <w:rPr>
          <w:rFonts w:ascii="Arial" w:hAnsi="Arial" w:cs="Arial"/>
          <w:sz w:val="28"/>
          <w:szCs w:val="28"/>
        </w:rPr>
        <w:t>s</w:t>
      </w:r>
      <w:r w:rsidR="007935AB" w:rsidRPr="005E307A">
        <w:rPr>
          <w:rFonts w:ascii="Arial" w:hAnsi="Arial" w:cs="Arial"/>
          <w:sz w:val="28"/>
          <w:szCs w:val="28"/>
        </w:rPr>
        <w:t xml:space="preserve"> or employee</w:t>
      </w:r>
      <w:r w:rsidR="001373D3">
        <w:rPr>
          <w:rFonts w:ascii="Arial" w:hAnsi="Arial" w:cs="Arial"/>
          <w:sz w:val="28"/>
          <w:szCs w:val="28"/>
        </w:rPr>
        <w:t>s</w:t>
      </w:r>
      <w:r w:rsidR="007935AB" w:rsidRPr="005E307A">
        <w:rPr>
          <w:rFonts w:ascii="Arial" w:hAnsi="Arial" w:cs="Arial"/>
          <w:sz w:val="28"/>
          <w:szCs w:val="28"/>
        </w:rPr>
        <w:t>.</w:t>
      </w:r>
    </w:p>
    <w:p w14:paraId="5682247B" w14:textId="60936135" w:rsidR="00A936CF" w:rsidRDefault="00EF4239" w:rsidP="009668C8">
      <w:pPr>
        <w:pStyle w:val="PlainText"/>
        <w:numPr>
          <w:ilvl w:val="0"/>
          <w:numId w:val="1"/>
        </w:numPr>
        <w:spacing w:after="240"/>
        <w:rPr>
          <w:rFonts w:ascii="Arial" w:hAnsi="Arial" w:cs="Arial"/>
          <w:sz w:val="28"/>
          <w:szCs w:val="28"/>
        </w:rPr>
      </w:pPr>
      <w:r w:rsidRPr="00462199">
        <w:rPr>
          <w:rFonts w:ascii="Arial" w:hAnsi="Arial"/>
          <w:sz w:val="28"/>
          <w:szCs w:val="20"/>
        </w:rPr>
        <w:t>An assistive technology evaluation or assessment means a comprehensive</w:t>
      </w:r>
      <w:r>
        <w:rPr>
          <w:rFonts w:ascii="Arial" w:hAnsi="Arial"/>
          <w:sz w:val="28"/>
          <w:szCs w:val="20"/>
        </w:rPr>
        <w:t xml:space="preserve"> and impartial</w:t>
      </w:r>
      <w:r w:rsidRPr="00462199">
        <w:rPr>
          <w:rFonts w:ascii="Arial" w:hAnsi="Arial"/>
          <w:sz w:val="28"/>
          <w:szCs w:val="20"/>
        </w:rPr>
        <w:t xml:space="preserve"> review of the assistive technology products and services which might help meet the disability-related needs of an employee</w:t>
      </w:r>
      <w:r w:rsidR="005025EC">
        <w:rPr>
          <w:rFonts w:ascii="Arial" w:hAnsi="Arial"/>
          <w:sz w:val="28"/>
          <w:szCs w:val="20"/>
        </w:rPr>
        <w:t xml:space="preserve"> </w:t>
      </w:r>
      <w:r w:rsidRPr="00462199">
        <w:rPr>
          <w:rFonts w:ascii="Arial" w:hAnsi="Arial"/>
          <w:sz w:val="28"/>
          <w:szCs w:val="20"/>
        </w:rPr>
        <w:t xml:space="preserve">with a disability or </w:t>
      </w:r>
      <w:r>
        <w:rPr>
          <w:rFonts w:ascii="Arial" w:hAnsi="Arial"/>
          <w:sz w:val="28"/>
          <w:szCs w:val="20"/>
        </w:rPr>
        <w:t>D</w:t>
      </w:r>
      <w:r w:rsidRPr="00462199">
        <w:rPr>
          <w:rFonts w:ascii="Arial" w:hAnsi="Arial"/>
          <w:sz w:val="28"/>
          <w:szCs w:val="20"/>
        </w:rPr>
        <w:t>OR consumer and a recommendation as to which of those products and/or services should be purchased by DOR</w:t>
      </w:r>
      <w:r w:rsidR="009A44CB">
        <w:rPr>
          <w:rFonts w:ascii="Arial" w:hAnsi="Arial" w:cs="Arial"/>
          <w:sz w:val="28"/>
          <w:szCs w:val="28"/>
        </w:rPr>
        <w:t>.</w:t>
      </w:r>
    </w:p>
    <w:p w14:paraId="1A2D9D03" w14:textId="24BCF0AF" w:rsidR="00C04902" w:rsidRDefault="00C04902" w:rsidP="00C04902">
      <w:pPr>
        <w:pStyle w:val="PlainText"/>
        <w:numPr>
          <w:ilvl w:val="0"/>
          <w:numId w:val="1"/>
        </w:numPr>
        <w:spacing w:after="240"/>
        <w:rPr>
          <w:rFonts w:ascii="Arial" w:hAnsi="Arial" w:cs="Arial"/>
          <w:sz w:val="28"/>
          <w:szCs w:val="28"/>
        </w:rPr>
      </w:pPr>
      <w:r w:rsidRPr="005E307A">
        <w:rPr>
          <w:rFonts w:ascii="Arial" w:hAnsi="Arial" w:cs="Arial"/>
          <w:sz w:val="28"/>
          <w:szCs w:val="28"/>
        </w:rPr>
        <w:t>An evaluation must include a review of available products which might meet the needs of the consumer or employee.</w:t>
      </w:r>
      <w:r>
        <w:rPr>
          <w:rFonts w:ascii="Arial" w:hAnsi="Arial" w:cs="Arial"/>
          <w:sz w:val="28"/>
          <w:szCs w:val="28"/>
        </w:rPr>
        <w:t xml:space="preserve"> Where more than one possible solution exists consumers and employees must be afforded the opportunity to try out </w:t>
      </w:r>
      <w:r w:rsidR="00B511D4">
        <w:rPr>
          <w:rFonts w:ascii="Arial" w:hAnsi="Arial" w:cs="Arial"/>
          <w:sz w:val="28"/>
          <w:szCs w:val="28"/>
        </w:rPr>
        <w:t>multiple</w:t>
      </w:r>
      <w:r>
        <w:rPr>
          <w:rFonts w:ascii="Arial" w:hAnsi="Arial" w:cs="Arial"/>
          <w:sz w:val="28"/>
          <w:szCs w:val="28"/>
        </w:rPr>
        <w:t xml:space="preserve"> alternatives. These alternatives should be documented in the evaluation report.</w:t>
      </w:r>
      <w:r w:rsidR="00C02C33">
        <w:rPr>
          <w:rFonts w:ascii="Arial" w:hAnsi="Arial" w:cs="Arial"/>
          <w:sz w:val="28"/>
          <w:szCs w:val="28"/>
        </w:rPr>
        <w:t xml:space="preserve"> </w:t>
      </w:r>
    </w:p>
    <w:p w14:paraId="59BE6A3C" w14:textId="126084CC" w:rsidR="00EA3E55" w:rsidRPr="005E307A" w:rsidRDefault="008E0FC1" w:rsidP="009668C8">
      <w:pPr>
        <w:pStyle w:val="PlainText"/>
        <w:numPr>
          <w:ilvl w:val="0"/>
          <w:numId w:val="1"/>
        </w:numPr>
        <w:spacing w:after="240"/>
        <w:rPr>
          <w:rFonts w:ascii="Arial" w:hAnsi="Arial" w:cs="Arial"/>
          <w:sz w:val="28"/>
          <w:szCs w:val="28"/>
        </w:rPr>
      </w:pPr>
      <w:r>
        <w:rPr>
          <w:rFonts w:ascii="Arial" w:hAnsi="Arial" w:cs="Arial"/>
          <w:sz w:val="28"/>
          <w:szCs w:val="28"/>
        </w:rPr>
        <w:t>D</w:t>
      </w:r>
      <w:r w:rsidR="00E61CE5" w:rsidRPr="005E307A">
        <w:rPr>
          <w:rFonts w:ascii="Arial" w:hAnsi="Arial" w:cs="Arial"/>
          <w:sz w:val="28"/>
          <w:szCs w:val="28"/>
        </w:rPr>
        <w:t>emonstrating a particular product or determining whether a person with a disability could benefit from the use of such a product is not considered an assistive technology evaluation</w:t>
      </w:r>
      <w:r w:rsidR="00F66837">
        <w:rPr>
          <w:rFonts w:ascii="Arial" w:hAnsi="Arial" w:cs="Arial"/>
          <w:sz w:val="28"/>
          <w:szCs w:val="28"/>
        </w:rPr>
        <w:t>.</w:t>
      </w:r>
      <w:r w:rsidR="00547746">
        <w:rPr>
          <w:rFonts w:ascii="Arial" w:hAnsi="Arial" w:cs="Arial"/>
          <w:sz w:val="28"/>
          <w:szCs w:val="28"/>
        </w:rPr>
        <w:t xml:space="preserve"> </w:t>
      </w:r>
      <w:r w:rsidR="00F66837">
        <w:rPr>
          <w:rFonts w:ascii="Arial" w:hAnsi="Arial" w:cs="Arial"/>
          <w:sz w:val="28"/>
          <w:szCs w:val="28"/>
        </w:rPr>
        <w:t xml:space="preserve">The rules set forth below do not apply to product demonstrations </w:t>
      </w:r>
      <w:r w:rsidR="00547746">
        <w:rPr>
          <w:rFonts w:ascii="Arial" w:hAnsi="Arial" w:cs="Arial"/>
          <w:sz w:val="28"/>
          <w:szCs w:val="28"/>
        </w:rPr>
        <w:t xml:space="preserve">since a vendor does not submit an evaluation report or make </w:t>
      </w:r>
      <w:r w:rsidR="004C0AEE">
        <w:rPr>
          <w:rFonts w:ascii="Arial" w:hAnsi="Arial" w:cs="Arial"/>
          <w:sz w:val="28"/>
          <w:szCs w:val="28"/>
        </w:rPr>
        <w:t>recommendations</w:t>
      </w:r>
      <w:r w:rsidR="0061090C">
        <w:rPr>
          <w:rFonts w:ascii="Arial" w:hAnsi="Arial" w:cs="Arial"/>
          <w:sz w:val="28"/>
          <w:szCs w:val="28"/>
        </w:rPr>
        <w:t xml:space="preserve"> to DOR</w:t>
      </w:r>
      <w:r w:rsidR="009C46E4">
        <w:rPr>
          <w:rFonts w:ascii="Arial" w:hAnsi="Arial" w:cs="Arial"/>
          <w:sz w:val="28"/>
          <w:szCs w:val="28"/>
        </w:rPr>
        <w:t xml:space="preserve"> on products or services</w:t>
      </w:r>
      <w:r w:rsidR="00C856AA">
        <w:rPr>
          <w:rFonts w:ascii="Arial" w:hAnsi="Arial" w:cs="Arial"/>
          <w:sz w:val="28"/>
          <w:szCs w:val="28"/>
        </w:rPr>
        <w:t xml:space="preserve"> </w:t>
      </w:r>
      <w:r w:rsidR="00547746">
        <w:rPr>
          <w:rFonts w:ascii="Arial" w:hAnsi="Arial" w:cs="Arial"/>
          <w:sz w:val="28"/>
          <w:szCs w:val="28"/>
        </w:rPr>
        <w:t xml:space="preserve">after providing </w:t>
      </w:r>
      <w:r w:rsidR="00A70E20">
        <w:rPr>
          <w:rFonts w:ascii="Arial" w:hAnsi="Arial" w:cs="Arial"/>
          <w:sz w:val="28"/>
          <w:szCs w:val="28"/>
        </w:rPr>
        <w:t>a</w:t>
      </w:r>
      <w:r w:rsidR="00547746">
        <w:rPr>
          <w:rFonts w:ascii="Arial" w:hAnsi="Arial" w:cs="Arial"/>
          <w:sz w:val="28"/>
          <w:szCs w:val="28"/>
        </w:rPr>
        <w:t xml:space="preserve"> demonstration. </w:t>
      </w:r>
    </w:p>
    <w:p w14:paraId="7C81F994" w14:textId="23F54144" w:rsidR="00F578BB" w:rsidRDefault="007C4384" w:rsidP="008E0FC1">
      <w:pPr>
        <w:pStyle w:val="PlainText"/>
        <w:numPr>
          <w:ilvl w:val="0"/>
          <w:numId w:val="1"/>
        </w:numPr>
        <w:spacing w:after="240"/>
        <w:rPr>
          <w:rFonts w:ascii="Arial" w:hAnsi="Arial" w:cs="Arial"/>
          <w:sz w:val="28"/>
          <w:szCs w:val="28"/>
        </w:rPr>
      </w:pPr>
      <w:r>
        <w:rPr>
          <w:rFonts w:ascii="Arial" w:hAnsi="Arial" w:cs="Arial"/>
          <w:sz w:val="28"/>
          <w:szCs w:val="28"/>
        </w:rPr>
        <w:t>I</w:t>
      </w:r>
      <w:r w:rsidRPr="007C4384">
        <w:rPr>
          <w:rFonts w:ascii="Arial" w:hAnsi="Arial" w:cs="Arial"/>
          <w:sz w:val="28"/>
          <w:szCs w:val="28"/>
        </w:rPr>
        <w:t xml:space="preserve">t is DOR’s </w:t>
      </w:r>
      <w:r w:rsidR="00B17AAA">
        <w:rPr>
          <w:rFonts w:ascii="Arial" w:hAnsi="Arial" w:cs="Arial"/>
          <w:sz w:val="28"/>
          <w:szCs w:val="28"/>
        </w:rPr>
        <w:t>practice</w:t>
      </w:r>
      <w:r w:rsidR="00B17AAA" w:rsidRPr="007C4384">
        <w:rPr>
          <w:rFonts w:ascii="Arial" w:hAnsi="Arial" w:cs="Arial"/>
          <w:sz w:val="28"/>
          <w:szCs w:val="28"/>
        </w:rPr>
        <w:t xml:space="preserve"> </w:t>
      </w:r>
      <w:r w:rsidRPr="007C4384">
        <w:rPr>
          <w:rFonts w:ascii="Arial" w:hAnsi="Arial" w:cs="Arial"/>
          <w:sz w:val="28"/>
          <w:szCs w:val="28"/>
        </w:rPr>
        <w:t xml:space="preserve">not to </w:t>
      </w:r>
      <w:r w:rsidRPr="00B012FE">
        <w:rPr>
          <w:rFonts w:ascii="Arial" w:hAnsi="Arial" w:cs="Arial"/>
          <w:sz w:val="28"/>
          <w:szCs w:val="28"/>
        </w:rPr>
        <w:t>use organizations for evaluations if</w:t>
      </w:r>
      <w:r w:rsidR="00C95E36">
        <w:rPr>
          <w:rFonts w:ascii="Arial" w:hAnsi="Arial" w:cs="Arial"/>
          <w:sz w:val="28"/>
          <w:szCs w:val="28"/>
        </w:rPr>
        <w:t>:</w:t>
      </w:r>
    </w:p>
    <w:p w14:paraId="79AD2C77" w14:textId="10EAD1D1" w:rsidR="007C4384" w:rsidRDefault="008C243C" w:rsidP="002873B1">
      <w:pPr>
        <w:pStyle w:val="PlainText"/>
        <w:numPr>
          <w:ilvl w:val="1"/>
          <w:numId w:val="9"/>
        </w:numPr>
        <w:spacing w:after="240"/>
        <w:rPr>
          <w:rFonts w:ascii="Arial" w:hAnsi="Arial" w:cs="Arial"/>
          <w:sz w:val="28"/>
          <w:szCs w:val="28"/>
        </w:rPr>
      </w:pPr>
      <w:r w:rsidRPr="008C243C">
        <w:rPr>
          <w:rFonts w:ascii="Arial" w:hAnsi="Arial" w:cs="Arial"/>
          <w:sz w:val="28"/>
          <w:szCs w:val="28"/>
        </w:rPr>
        <w:t>The evaluator, organization, or group has a connection or relationship with another vendor</w:t>
      </w:r>
      <w:r w:rsidR="00C60295">
        <w:rPr>
          <w:rFonts w:ascii="Arial" w:hAnsi="Arial" w:cs="Arial"/>
          <w:sz w:val="28"/>
          <w:szCs w:val="28"/>
        </w:rPr>
        <w:t>/supplier</w:t>
      </w:r>
      <w:r w:rsidRPr="008C243C">
        <w:rPr>
          <w:rFonts w:ascii="Arial" w:hAnsi="Arial" w:cs="Arial"/>
          <w:sz w:val="28"/>
          <w:szCs w:val="28"/>
        </w:rPr>
        <w:t xml:space="preserve"> of such a kind that it would be reasonable to believe that the relationship might influence the evaluator’s ability to remain impartial or result in a financial benefit from the recommendation of a product</w:t>
      </w:r>
      <w:r w:rsidR="00E901F3">
        <w:rPr>
          <w:rFonts w:ascii="Arial" w:hAnsi="Arial" w:cs="Arial"/>
          <w:sz w:val="28"/>
          <w:szCs w:val="28"/>
        </w:rPr>
        <w:t>.</w:t>
      </w:r>
    </w:p>
    <w:p w14:paraId="7250AB40" w14:textId="5B840574" w:rsidR="00E7154C" w:rsidRPr="002873B1" w:rsidRDefault="00E7154C" w:rsidP="002873B1">
      <w:pPr>
        <w:pStyle w:val="PlainText"/>
        <w:numPr>
          <w:ilvl w:val="1"/>
          <w:numId w:val="9"/>
        </w:numPr>
        <w:spacing w:after="240"/>
        <w:rPr>
          <w:rFonts w:ascii="Arial" w:hAnsi="Arial" w:cs="Arial"/>
          <w:sz w:val="28"/>
          <w:szCs w:val="28"/>
        </w:rPr>
      </w:pPr>
      <w:r w:rsidRPr="00E7154C">
        <w:rPr>
          <w:rFonts w:ascii="Arial" w:hAnsi="Arial" w:cs="Arial"/>
          <w:sz w:val="28"/>
          <w:szCs w:val="28"/>
        </w:rPr>
        <w:t>A</w:t>
      </w:r>
      <w:r>
        <w:rPr>
          <w:rFonts w:ascii="Arial" w:hAnsi="Arial" w:cs="Arial"/>
          <w:sz w:val="28"/>
          <w:szCs w:val="28"/>
        </w:rPr>
        <w:t>n</w:t>
      </w:r>
      <w:r w:rsidRPr="00E7154C">
        <w:rPr>
          <w:rFonts w:ascii="Arial" w:hAnsi="Arial" w:cs="Arial"/>
          <w:sz w:val="28"/>
          <w:szCs w:val="28"/>
        </w:rPr>
        <w:t xml:space="preserve"> evaluator, organization, or group who conducts an evaluation recommends products for which they will receive a “finder’s fee” or other direct financial compensation </w:t>
      </w:r>
      <w:proofErr w:type="gramStart"/>
      <w:r w:rsidRPr="00E7154C">
        <w:rPr>
          <w:rFonts w:ascii="Arial" w:hAnsi="Arial" w:cs="Arial"/>
          <w:sz w:val="28"/>
          <w:szCs w:val="28"/>
        </w:rPr>
        <w:t>as a result of</w:t>
      </w:r>
      <w:proofErr w:type="gramEnd"/>
      <w:r w:rsidRPr="00E7154C">
        <w:rPr>
          <w:rFonts w:ascii="Arial" w:hAnsi="Arial" w:cs="Arial"/>
          <w:sz w:val="28"/>
          <w:szCs w:val="28"/>
        </w:rPr>
        <w:t xml:space="preserve"> the recommendation.</w:t>
      </w:r>
    </w:p>
    <w:p w14:paraId="1E330033" w14:textId="060A9954" w:rsidR="007C4384" w:rsidRPr="00B012FE" w:rsidRDefault="00E61CE5" w:rsidP="00B012FE">
      <w:pPr>
        <w:pStyle w:val="PlainText"/>
        <w:numPr>
          <w:ilvl w:val="0"/>
          <w:numId w:val="1"/>
        </w:numPr>
        <w:spacing w:after="240"/>
        <w:rPr>
          <w:rFonts w:ascii="Arial" w:hAnsi="Arial" w:cs="Arial"/>
          <w:sz w:val="28"/>
          <w:szCs w:val="28"/>
        </w:rPr>
      </w:pPr>
      <w:r w:rsidRPr="00521302">
        <w:rPr>
          <w:rFonts w:ascii="Arial" w:hAnsi="Arial" w:cs="Arial"/>
          <w:sz w:val="28"/>
          <w:szCs w:val="28"/>
        </w:rPr>
        <w:lastRenderedPageBreak/>
        <w:t xml:space="preserve">It is </w:t>
      </w:r>
      <w:r w:rsidR="009A44CB" w:rsidRPr="00521302">
        <w:rPr>
          <w:rFonts w:ascii="Arial" w:hAnsi="Arial" w:cs="Arial"/>
          <w:sz w:val="28"/>
          <w:szCs w:val="28"/>
        </w:rPr>
        <w:t xml:space="preserve">DOR’s </w:t>
      </w:r>
      <w:r w:rsidR="005A6586" w:rsidRPr="00521302">
        <w:rPr>
          <w:rFonts w:ascii="Arial" w:hAnsi="Arial" w:cs="Arial"/>
          <w:sz w:val="28"/>
          <w:szCs w:val="28"/>
        </w:rPr>
        <w:t xml:space="preserve">practice </w:t>
      </w:r>
      <w:r w:rsidRPr="00B012FE">
        <w:rPr>
          <w:rFonts w:ascii="Arial" w:hAnsi="Arial" w:cs="Arial"/>
          <w:sz w:val="28"/>
          <w:szCs w:val="28"/>
        </w:rPr>
        <w:t>not to purchase equipment or software</w:t>
      </w:r>
      <w:r w:rsidRPr="00521302">
        <w:rPr>
          <w:rFonts w:ascii="Arial" w:hAnsi="Arial" w:cs="Arial"/>
          <w:sz w:val="28"/>
          <w:szCs w:val="28"/>
        </w:rPr>
        <w:t xml:space="preserve"> from</w:t>
      </w:r>
      <w:r w:rsidR="00B012FE">
        <w:rPr>
          <w:rFonts w:ascii="Arial" w:hAnsi="Arial" w:cs="Arial"/>
          <w:sz w:val="28"/>
          <w:szCs w:val="28"/>
        </w:rPr>
        <w:t xml:space="preserve"> t</w:t>
      </w:r>
      <w:r w:rsidRPr="00B012FE">
        <w:rPr>
          <w:rFonts w:ascii="Arial" w:hAnsi="Arial" w:cs="Arial"/>
          <w:sz w:val="28"/>
          <w:szCs w:val="28"/>
        </w:rPr>
        <w:t xml:space="preserve">he same </w:t>
      </w:r>
      <w:r w:rsidR="004809D6" w:rsidRPr="00B012FE">
        <w:rPr>
          <w:rFonts w:ascii="Arial" w:hAnsi="Arial" w:cs="Arial"/>
          <w:sz w:val="28"/>
          <w:szCs w:val="28"/>
        </w:rPr>
        <w:t xml:space="preserve">vendor </w:t>
      </w:r>
      <w:r w:rsidR="000E60C4" w:rsidRPr="00B012FE">
        <w:rPr>
          <w:rFonts w:ascii="Arial" w:hAnsi="Arial" w:cs="Arial"/>
          <w:sz w:val="28"/>
          <w:szCs w:val="28"/>
        </w:rPr>
        <w:t xml:space="preserve">who </w:t>
      </w:r>
      <w:r w:rsidRPr="00B012FE">
        <w:rPr>
          <w:rFonts w:ascii="Arial" w:hAnsi="Arial" w:cs="Arial"/>
          <w:sz w:val="28"/>
          <w:szCs w:val="28"/>
        </w:rPr>
        <w:t>conducted the evaluation of the consume</w:t>
      </w:r>
      <w:r w:rsidR="009A44CB" w:rsidRPr="00B012FE">
        <w:rPr>
          <w:rFonts w:ascii="Arial" w:hAnsi="Arial" w:cs="Arial"/>
          <w:sz w:val="28"/>
          <w:szCs w:val="28"/>
        </w:rPr>
        <w:t xml:space="preserve">r or </w:t>
      </w:r>
      <w:r w:rsidR="004809D6" w:rsidRPr="00B012FE">
        <w:rPr>
          <w:rFonts w:ascii="Arial" w:hAnsi="Arial" w:cs="Arial"/>
          <w:sz w:val="28"/>
          <w:szCs w:val="28"/>
        </w:rPr>
        <w:t>employee’s needs</w:t>
      </w:r>
      <w:r w:rsidR="000E60C4" w:rsidRPr="00B012FE">
        <w:rPr>
          <w:rFonts w:ascii="Arial" w:hAnsi="Arial" w:cs="Arial"/>
          <w:sz w:val="28"/>
          <w:szCs w:val="28"/>
        </w:rPr>
        <w:t>.</w:t>
      </w:r>
      <w:r w:rsidR="004809D6" w:rsidRPr="00B012FE">
        <w:rPr>
          <w:rFonts w:ascii="Arial" w:hAnsi="Arial" w:cs="Arial"/>
          <w:sz w:val="28"/>
          <w:szCs w:val="28"/>
        </w:rPr>
        <w:t xml:space="preserve"> </w:t>
      </w:r>
    </w:p>
    <w:p w14:paraId="4EB8C1C3" w14:textId="30C99AA7" w:rsidR="00B17AAA" w:rsidRDefault="00B17AAA" w:rsidP="00B17AAA">
      <w:pPr>
        <w:pStyle w:val="PlainText"/>
        <w:spacing w:after="240"/>
        <w:rPr>
          <w:rFonts w:ascii="Arial" w:hAnsi="Arial" w:cs="Arial"/>
          <w:sz w:val="28"/>
          <w:szCs w:val="28"/>
        </w:rPr>
      </w:pPr>
      <w:r w:rsidRPr="00B17AAA">
        <w:rPr>
          <w:rFonts w:ascii="Arial" w:hAnsi="Arial" w:cs="Arial"/>
          <w:sz w:val="28"/>
          <w:szCs w:val="28"/>
        </w:rPr>
        <w:t>Th</w:t>
      </w:r>
      <w:r w:rsidR="000E60C4">
        <w:rPr>
          <w:rFonts w:ascii="Arial" w:hAnsi="Arial" w:cs="Arial"/>
          <w:sz w:val="28"/>
          <w:szCs w:val="28"/>
        </w:rPr>
        <w:t>ese</w:t>
      </w:r>
      <w:r w:rsidRPr="00B17AAA">
        <w:rPr>
          <w:rFonts w:ascii="Arial" w:hAnsi="Arial" w:cs="Arial"/>
          <w:sz w:val="28"/>
          <w:szCs w:val="28"/>
        </w:rPr>
        <w:t xml:space="preserve"> practice</w:t>
      </w:r>
      <w:r w:rsidR="000E60C4">
        <w:rPr>
          <w:rFonts w:ascii="Arial" w:hAnsi="Arial" w:cs="Arial"/>
          <w:sz w:val="28"/>
          <w:szCs w:val="28"/>
        </w:rPr>
        <w:t>s</w:t>
      </w:r>
      <w:r w:rsidRPr="00B17AAA">
        <w:rPr>
          <w:rFonts w:ascii="Arial" w:hAnsi="Arial" w:cs="Arial"/>
          <w:sz w:val="28"/>
          <w:szCs w:val="28"/>
        </w:rPr>
        <w:t xml:space="preserve"> </w:t>
      </w:r>
      <w:r w:rsidR="000E60C4">
        <w:rPr>
          <w:rFonts w:ascii="Arial" w:hAnsi="Arial" w:cs="Arial"/>
          <w:sz w:val="28"/>
          <w:szCs w:val="28"/>
        </w:rPr>
        <w:t>are</w:t>
      </w:r>
      <w:r w:rsidRPr="00B17AAA">
        <w:rPr>
          <w:rFonts w:ascii="Arial" w:hAnsi="Arial" w:cs="Arial"/>
          <w:sz w:val="28"/>
          <w:szCs w:val="28"/>
        </w:rPr>
        <w:t xml:space="preserve"> intended to avoid financial conflicts of interests</w:t>
      </w:r>
      <w:r w:rsidR="007E15AF">
        <w:rPr>
          <w:rFonts w:ascii="Arial" w:hAnsi="Arial" w:cs="Arial"/>
          <w:sz w:val="28"/>
          <w:szCs w:val="28"/>
        </w:rPr>
        <w:t xml:space="preserve"> prohibited by California state law</w:t>
      </w:r>
      <w:r w:rsidRPr="00B17AAA">
        <w:rPr>
          <w:rFonts w:ascii="Arial" w:hAnsi="Arial" w:cs="Arial"/>
          <w:sz w:val="28"/>
          <w:szCs w:val="28"/>
        </w:rPr>
        <w:t>.</w:t>
      </w:r>
    </w:p>
    <w:p w14:paraId="1CB1B6A0" w14:textId="162948A8" w:rsidR="00E61CE5" w:rsidRPr="005E307A" w:rsidRDefault="003350FF" w:rsidP="008E0FC1">
      <w:pPr>
        <w:pStyle w:val="PlainText"/>
        <w:numPr>
          <w:ilvl w:val="0"/>
          <w:numId w:val="1"/>
        </w:numPr>
        <w:spacing w:after="240"/>
        <w:rPr>
          <w:rFonts w:ascii="Arial" w:hAnsi="Arial" w:cs="Arial"/>
          <w:sz w:val="28"/>
          <w:szCs w:val="28"/>
        </w:rPr>
      </w:pPr>
      <w:r>
        <w:rPr>
          <w:rFonts w:ascii="Arial" w:hAnsi="Arial" w:cs="Arial"/>
          <w:sz w:val="28"/>
          <w:szCs w:val="28"/>
        </w:rPr>
        <w:t>T</w:t>
      </w:r>
      <w:r w:rsidR="00E61CE5" w:rsidRPr="005E307A">
        <w:rPr>
          <w:rFonts w:ascii="Arial" w:hAnsi="Arial" w:cs="Arial"/>
          <w:sz w:val="28"/>
          <w:szCs w:val="28"/>
        </w:rPr>
        <w:t xml:space="preserve">he </w:t>
      </w:r>
      <w:r w:rsidR="000E60C4" w:rsidRPr="005E307A">
        <w:rPr>
          <w:rFonts w:ascii="Arial" w:hAnsi="Arial" w:cs="Arial"/>
          <w:sz w:val="28"/>
          <w:szCs w:val="28"/>
        </w:rPr>
        <w:t>p</w:t>
      </w:r>
      <w:r w:rsidR="000E60C4">
        <w:rPr>
          <w:rFonts w:ascii="Arial" w:hAnsi="Arial" w:cs="Arial"/>
          <w:sz w:val="28"/>
          <w:szCs w:val="28"/>
        </w:rPr>
        <w:t>ractices</w:t>
      </w:r>
      <w:r w:rsidR="000E60C4" w:rsidRPr="005E307A">
        <w:rPr>
          <w:rFonts w:ascii="Arial" w:hAnsi="Arial" w:cs="Arial"/>
          <w:sz w:val="28"/>
          <w:szCs w:val="28"/>
        </w:rPr>
        <w:t xml:space="preserve"> </w:t>
      </w:r>
      <w:r w:rsidR="00E61CE5" w:rsidRPr="005E307A">
        <w:rPr>
          <w:rFonts w:ascii="Arial" w:hAnsi="Arial" w:cs="Arial"/>
          <w:sz w:val="28"/>
          <w:szCs w:val="28"/>
        </w:rPr>
        <w:t xml:space="preserve">set forth in Section </w:t>
      </w:r>
      <w:r w:rsidR="00FF2680" w:rsidRPr="005E307A">
        <w:rPr>
          <w:rFonts w:ascii="Arial" w:hAnsi="Arial" w:cs="Arial"/>
          <w:sz w:val="28"/>
          <w:szCs w:val="28"/>
        </w:rPr>
        <w:t>D</w:t>
      </w:r>
      <w:r w:rsidR="00E61CE5" w:rsidRPr="005E307A">
        <w:rPr>
          <w:rFonts w:ascii="Arial" w:hAnsi="Arial" w:cs="Arial"/>
          <w:sz w:val="28"/>
          <w:szCs w:val="28"/>
        </w:rPr>
        <w:t xml:space="preserve"> </w:t>
      </w:r>
      <w:r w:rsidR="007C4384">
        <w:rPr>
          <w:rFonts w:ascii="Arial" w:hAnsi="Arial" w:cs="Arial"/>
          <w:sz w:val="28"/>
          <w:szCs w:val="28"/>
        </w:rPr>
        <w:t xml:space="preserve">and Section E </w:t>
      </w:r>
      <w:r w:rsidR="000E60C4">
        <w:rPr>
          <w:rFonts w:ascii="Arial" w:hAnsi="Arial" w:cs="Arial"/>
          <w:sz w:val="28"/>
          <w:szCs w:val="28"/>
        </w:rPr>
        <w:t>may</w:t>
      </w:r>
      <w:r w:rsidR="000E60C4" w:rsidRPr="005E307A">
        <w:rPr>
          <w:rFonts w:ascii="Arial" w:hAnsi="Arial" w:cs="Arial"/>
          <w:sz w:val="28"/>
          <w:szCs w:val="28"/>
        </w:rPr>
        <w:t xml:space="preserve"> </w:t>
      </w:r>
      <w:r w:rsidR="00E61CE5" w:rsidRPr="005E307A">
        <w:rPr>
          <w:rFonts w:ascii="Arial" w:hAnsi="Arial" w:cs="Arial"/>
          <w:sz w:val="28"/>
          <w:szCs w:val="28"/>
        </w:rPr>
        <w:t xml:space="preserve">not be applied </w:t>
      </w:r>
      <w:r w:rsidR="009A44CB">
        <w:rPr>
          <w:rFonts w:ascii="Arial" w:hAnsi="Arial" w:cs="Arial"/>
          <w:sz w:val="28"/>
          <w:szCs w:val="28"/>
        </w:rPr>
        <w:t>when</w:t>
      </w:r>
      <w:r w:rsidR="00E61CE5" w:rsidRPr="005E307A">
        <w:rPr>
          <w:rFonts w:ascii="Arial" w:hAnsi="Arial" w:cs="Arial"/>
          <w:sz w:val="28"/>
          <w:szCs w:val="28"/>
        </w:rPr>
        <w:t xml:space="preserve"> doing so would:</w:t>
      </w:r>
    </w:p>
    <w:p w14:paraId="68B7D8F0" w14:textId="77777777" w:rsidR="00E61CE5" w:rsidRPr="005E307A" w:rsidRDefault="00314FDA" w:rsidP="009B2404">
      <w:pPr>
        <w:pStyle w:val="PlainText"/>
        <w:numPr>
          <w:ilvl w:val="0"/>
          <w:numId w:val="22"/>
        </w:numPr>
        <w:spacing w:after="240"/>
        <w:ind w:left="1080" w:hanging="360"/>
        <w:rPr>
          <w:rFonts w:ascii="Arial" w:hAnsi="Arial" w:cs="Arial"/>
          <w:sz w:val="28"/>
          <w:szCs w:val="28"/>
        </w:rPr>
      </w:pPr>
      <w:r w:rsidRPr="005E307A">
        <w:rPr>
          <w:rFonts w:ascii="Arial" w:hAnsi="Arial" w:cs="Arial"/>
          <w:sz w:val="28"/>
          <w:szCs w:val="28"/>
        </w:rPr>
        <w:t>J</w:t>
      </w:r>
      <w:r w:rsidR="00E61CE5" w:rsidRPr="005E307A">
        <w:rPr>
          <w:rFonts w:ascii="Arial" w:hAnsi="Arial" w:cs="Arial"/>
          <w:sz w:val="28"/>
          <w:szCs w:val="28"/>
        </w:rPr>
        <w:t xml:space="preserve">eopardize timely provision of reasonable accommodation for a DOR employee as required by state and federal law; or </w:t>
      </w:r>
    </w:p>
    <w:p w14:paraId="01E0E117" w14:textId="77777777" w:rsidR="008D413B" w:rsidRDefault="00314FDA" w:rsidP="008D413B">
      <w:pPr>
        <w:pStyle w:val="PlainText"/>
        <w:numPr>
          <w:ilvl w:val="0"/>
          <w:numId w:val="22"/>
        </w:numPr>
        <w:spacing w:after="240"/>
        <w:ind w:left="1080" w:hanging="360"/>
        <w:rPr>
          <w:rFonts w:ascii="Arial" w:hAnsi="Arial" w:cs="Arial"/>
          <w:sz w:val="28"/>
          <w:szCs w:val="28"/>
        </w:rPr>
      </w:pPr>
      <w:r w:rsidRPr="008D413B">
        <w:rPr>
          <w:rFonts w:ascii="Arial" w:hAnsi="Arial" w:cs="Arial"/>
          <w:sz w:val="28"/>
          <w:szCs w:val="28"/>
        </w:rPr>
        <w:t>Make</w:t>
      </w:r>
      <w:r w:rsidR="00E61CE5" w:rsidRPr="008D413B">
        <w:rPr>
          <w:rFonts w:ascii="Arial" w:hAnsi="Arial" w:cs="Arial"/>
          <w:sz w:val="28"/>
          <w:szCs w:val="28"/>
        </w:rPr>
        <w:t xml:space="preserve"> it difficult or impossible to meet a consumer or employee’s needs</w:t>
      </w:r>
      <w:r w:rsidR="009A44CB" w:rsidRPr="008D413B">
        <w:rPr>
          <w:rFonts w:ascii="Arial" w:hAnsi="Arial" w:cs="Arial"/>
          <w:sz w:val="28"/>
          <w:szCs w:val="28"/>
        </w:rPr>
        <w:t>,</w:t>
      </w:r>
      <w:r w:rsidR="00E61CE5" w:rsidRPr="008D413B">
        <w:rPr>
          <w:rFonts w:ascii="Arial" w:hAnsi="Arial" w:cs="Arial"/>
          <w:sz w:val="28"/>
          <w:szCs w:val="28"/>
        </w:rPr>
        <w:t xml:space="preserve"> given the circumstances of a particular case.</w:t>
      </w:r>
    </w:p>
    <w:p w14:paraId="564FBB53" w14:textId="71769789" w:rsidR="00350452" w:rsidRDefault="001D7059" w:rsidP="008E0FC1">
      <w:pPr>
        <w:pStyle w:val="PlainText"/>
        <w:numPr>
          <w:ilvl w:val="0"/>
          <w:numId w:val="1"/>
        </w:numPr>
        <w:spacing w:after="240"/>
        <w:rPr>
          <w:rFonts w:ascii="Arial" w:hAnsi="Arial" w:cs="Arial"/>
          <w:sz w:val="28"/>
          <w:szCs w:val="28"/>
        </w:rPr>
      </w:pPr>
      <w:r w:rsidRPr="001D7059">
        <w:rPr>
          <w:rFonts w:ascii="Arial" w:hAnsi="Arial" w:cs="Arial"/>
          <w:sz w:val="28"/>
          <w:szCs w:val="28"/>
        </w:rPr>
        <w:t xml:space="preserve">Should DOR encounter a situation where an evaluation is received recommending equipment or software that the purchase of poses a potential </w:t>
      </w:r>
      <w:r w:rsidR="007E15AF">
        <w:rPr>
          <w:rFonts w:ascii="Arial" w:hAnsi="Arial" w:cs="Arial"/>
          <w:sz w:val="28"/>
          <w:szCs w:val="28"/>
        </w:rPr>
        <w:t xml:space="preserve">financial </w:t>
      </w:r>
      <w:r w:rsidRPr="001D7059">
        <w:rPr>
          <w:rFonts w:ascii="Arial" w:hAnsi="Arial" w:cs="Arial"/>
          <w:sz w:val="28"/>
          <w:szCs w:val="28"/>
        </w:rPr>
        <w:t>conflict of interest, DOR may conduct an additional evaluation, as appropriate to meet the needs of DOR and the consumer consistent with informed choice, or the employee consistent with their reasonable accommodation needs. An additional evaluation may include, but may not be limited to, a second full or partial evaluation by another vendor or a documentary review by an individual or entity knowledgeable with the equipment, services, or needs involved. The DOR will base its purchase on the information received from the additional evaluation and by the initial evaluation</w:t>
      </w:r>
      <w:r>
        <w:rPr>
          <w:rFonts w:ascii="Arial" w:hAnsi="Arial" w:cs="Arial"/>
          <w:sz w:val="28"/>
          <w:szCs w:val="28"/>
        </w:rPr>
        <w:t>,</w:t>
      </w:r>
      <w:r w:rsidRPr="001D7059">
        <w:rPr>
          <w:rFonts w:ascii="Arial" w:hAnsi="Arial" w:cs="Arial"/>
          <w:sz w:val="28"/>
          <w:szCs w:val="28"/>
        </w:rPr>
        <w:t xml:space="preserve"> as well as other information.</w:t>
      </w:r>
      <w:r>
        <w:rPr>
          <w:rFonts w:ascii="Arial" w:hAnsi="Arial" w:cs="Arial"/>
          <w:sz w:val="28"/>
          <w:szCs w:val="28"/>
        </w:rPr>
        <w:t xml:space="preserve"> </w:t>
      </w:r>
      <w:r w:rsidR="007B1643">
        <w:rPr>
          <w:rFonts w:ascii="Arial" w:hAnsi="Arial" w:cs="Arial"/>
          <w:sz w:val="28"/>
          <w:szCs w:val="28"/>
        </w:rPr>
        <w:t>A detailed</w:t>
      </w:r>
      <w:r w:rsidR="009E48AB">
        <w:rPr>
          <w:rFonts w:ascii="Arial" w:hAnsi="Arial" w:cs="Arial"/>
          <w:sz w:val="28"/>
          <w:szCs w:val="28"/>
        </w:rPr>
        <w:t xml:space="preserve"> description of </w:t>
      </w:r>
      <w:r w:rsidR="007B1643">
        <w:rPr>
          <w:rFonts w:ascii="Arial" w:hAnsi="Arial" w:cs="Arial"/>
          <w:sz w:val="28"/>
          <w:szCs w:val="28"/>
        </w:rPr>
        <w:t>the</w:t>
      </w:r>
      <w:r>
        <w:rPr>
          <w:rFonts w:ascii="Arial" w:hAnsi="Arial" w:cs="Arial"/>
          <w:sz w:val="28"/>
          <w:szCs w:val="28"/>
        </w:rPr>
        <w:t xml:space="preserve"> situation </w:t>
      </w:r>
      <w:r w:rsidR="00714F16">
        <w:rPr>
          <w:rFonts w:ascii="Arial" w:hAnsi="Arial" w:cs="Arial"/>
          <w:sz w:val="28"/>
          <w:szCs w:val="28"/>
        </w:rPr>
        <w:t>must</w:t>
      </w:r>
      <w:r>
        <w:rPr>
          <w:rFonts w:ascii="Arial" w:hAnsi="Arial" w:cs="Arial"/>
          <w:sz w:val="28"/>
          <w:szCs w:val="28"/>
        </w:rPr>
        <w:t xml:space="preserve"> be </w:t>
      </w:r>
      <w:r w:rsidR="009E48AB">
        <w:rPr>
          <w:rFonts w:ascii="Arial" w:hAnsi="Arial" w:cs="Arial"/>
          <w:sz w:val="28"/>
          <w:szCs w:val="28"/>
        </w:rPr>
        <w:t>provided</w:t>
      </w:r>
      <w:r>
        <w:rPr>
          <w:rFonts w:ascii="Arial" w:hAnsi="Arial" w:cs="Arial"/>
          <w:sz w:val="28"/>
          <w:szCs w:val="28"/>
        </w:rPr>
        <w:t xml:space="preserve"> in the consumer’s case notes</w:t>
      </w:r>
      <w:r w:rsidR="003628EC">
        <w:rPr>
          <w:rFonts w:ascii="Arial" w:hAnsi="Arial" w:cs="Arial"/>
          <w:sz w:val="28"/>
          <w:szCs w:val="28"/>
        </w:rPr>
        <w:t xml:space="preserve"> or the reasonable accommodation file</w:t>
      </w:r>
      <w:r>
        <w:rPr>
          <w:rFonts w:ascii="Arial" w:hAnsi="Arial" w:cs="Arial"/>
          <w:sz w:val="28"/>
          <w:szCs w:val="28"/>
        </w:rPr>
        <w:t>.</w:t>
      </w:r>
    </w:p>
    <w:p w14:paraId="66E46284" w14:textId="77777777" w:rsidR="001D7059" w:rsidRPr="001D7059" w:rsidRDefault="001D7059" w:rsidP="001D7059">
      <w:pPr>
        <w:pStyle w:val="ListParagraph"/>
        <w:ind w:left="360"/>
        <w:rPr>
          <w:rFonts w:cs="Arial"/>
          <w:szCs w:val="28"/>
        </w:rPr>
      </w:pPr>
    </w:p>
    <w:p w14:paraId="263C1C2B" w14:textId="29B94032" w:rsidR="007C4384" w:rsidRPr="005E307A" w:rsidRDefault="007C4384" w:rsidP="007C4384">
      <w:pPr>
        <w:pStyle w:val="PlainText"/>
        <w:spacing w:after="240"/>
        <w:rPr>
          <w:rFonts w:ascii="Arial" w:hAnsi="Arial" w:cs="Arial"/>
          <w:sz w:val="28"/>
          <w:szCs w:val="28"/>
        </w:rPr>
      </w:pPr>
      <w:r w:rsidRPr="005E307A">
        <w:rPr>
          <w:rFonts w:ascii="Arial" w:hAnsi="Arial" w:cs="Arial"/>
          <w:sz w:val="28"/>
          <w:szCs w:val="28"/>
        </w:rPr>
        <w:t>If the DOR Contracts and Procurement Section</w:t>
      </w:r>
      <w:r>
        <w:rPr>
          <w:rFonts w:ascii="Arial" w:hAnsi="Arial" w:cs="Arial"/>
          <w:sz w:val="28"/>
          <w:szCs w:val="28"/>
        </w:rPr>
        <w:t xml:space="preserve"> Chief </w:t>
      </w:r>
      <w:r w:rsidRPr="005E307A">
        <w:rPr>
          <w:rFonts w:ascii="Arial" w:hAnsi="Arial" w:cs="Arial"/>
          <w:sz w:val="28"/>
          <w:szCs w:val="28"/>
        </w:rPr>
        <w:t>determines that a vendor has failed to comply with this requirement, DOR may</w:t>
      </w:r>
      <w:r w:rsidR="003628EC">
        <w:rPr>
          <w:rFonts w:ascii="Arial" w:hAnsi="Arial" w:cs="Arial"/>
          <w:sz w:val="28"/>
          <w:szCs w:val="28"/>
        </w:rPr>
        <w:t xml:space="preserve"> cancel the authorization or contract.</w:t>
      </w:r>
    </w:p>
    <w:sectPr w:rsidR="007C4384" w:rsidRPr="005E307A" w:rsidSect="0077745F">
      <w:headerReference w:type="even" r:id="rId8"/>
      <w:headerReference w:type="default" r:id="rId9"/>
      <w:footerReference w:type="even" r:id="rId10"/>
      <w:footerReference w:type="default" r:id="rId11"/>
      <w:headerReference w:type="first" r:id="rId12"/>
      <w:footerReference w:type="first" r:id="rId13"/>
      <w:pgSz w:w="12240" w:h="15840"/>
      <w:pgMar w:top="1440" w:right="1502" w:bottom="1440" w:left="15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8BAA57" w14:textId="77777777" w:rsidR="00340EF2" w:rsidRDefault="00340EF2" w:rsidP="0098679E">
      <w:r>
        <w:separator/>
      </w:r>
    </w:p>
  </w:endnote>
  <w:endnote w:type="continuationSeparator" w:id="0">
    <w:p w14:paraId="122348F9" w14:textId="77777777" w:rsidR="00340EF2" w:rsidRDefault="00340EF2" w:rsidP="0098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CD935" w14:textId="77777777" w:rsidR="00D41256" w:rsidRDefault="00D41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880339"/>
      <w:docPartObj>
        <w:docPartGallery w:val="Page Numbers (Bottom of Page)"/>
        <w:docPartUnique/>
      </w:docPartObj>
    </w:sdtPr>
    <w:sdtEndPr>
      <w:rPr>
        <w:noProof/>
      </w:rPr>
    </w:sdtEndPr>
    <w:sdtContent>
      <w:p w14:paraId="522FD4FF" w14:textId="77777777" w:rsidR="0098679E" w:rsidRDefault="00E53FAA">
        <w:pPr>
          <w:pStyle w:val="Footer"/>
          <w:jc w:val="right"/>
        </w:pPr>
        <w:r>
          <w:fldChar w:fldCharType="begin"/>
        </w:r>
        <w:r w:rsidR="0098679E">
          <w:instrText xml:space="preserve"> PAGE   \* MERGEFORMAT </w:instrText>
        </w:r>
        <w:r>
          <w:fldChar w:fldCharType="separate"/>
        </w:r>
        <w:r w:rsidR="000765EA">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15CE6" w14:textId="77777777" w:rsidR="00D41256" w:rsidRDefault="00D4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12CA1" w14:textId="77777777" w:rsidR="00340EF2" w:rsidRDefault="00340EF2" w:rsidP="0098679E">
      <w:r>
        <w:separator/>
      </w:r>
    </w:p>
  </w:footnote>
  <w:footnote w:type="continuationSeparator" w:id="0">
    <w:p w14:paraId="22B0D9CA" w14:textId="77777777" w:rsidR="00340EF2" w:rsidRDefault="00340EF2" w:rsidP="00986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FCFB7" w14:textId="77777777" w:rsidR="00D41256" w:rsidRDefault="00D41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FC6E4" w14:textId="53123B65" w:rsidR="00D41256" w:rsidRDefault="00D412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6B72" w14:textId="77777777" w:rsidR="00D41256" w:rsidRDefault="00D41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56EA"/>
    <w:multiLevelType w:val="hybridMultilevel"/>
    <w:tmpl w:val="598813B6"/>
    <w:lvl w:ilvl="0" w:tplc="3E0A60C8">
      <w:start w:val="1"/>
      <w:numFmt w:val="upperLetter"/>
      <w:lvlText w:val="(%1)"/>
      <w:lvlJc w:val="left"/>
      <w:pPr>
        <w:ind w:left="2535" w:hanging="720"/>
      </w:pPr>
      <w:rPr>
        <w:rFonts w:hint="default"/>
      </w:rPr>
    </w:lvl>
    <w:lvl w:ilvl="1" w:tplc="04090019" w:tentative="1">
      <w:start w:val="1"/>
      <w:numFmt w:val="lowerLetter"/>
      <w:lvlText w:val="%2."/>
      <w:lvlJc w:val="left"/>
      <w:pPr>
        <w:ind w:left="2895" w:hanging="360"/>
      </w:pPr>
    </w:lvl>
    <w:lvl w:ilvl="2" w:tplc="0409001B" w:tentative="1">
      <w:start w:val="1"/>
      <w:numFmt w:val="lowerRoman"/>
      <w:lvlText w:val="%3."/>
      <w:lvlJc w:val="right"/>
      <w:pPr>
        <w:ind w:left="3615" w:hanging="180"/>
      </w:pPr>
    </w:lvl>
    <w:lvl w:ilvl="3" w:tplc="0409000F" w:tentative="1">
      <w:start w:val="1"/>
      <w:numFmt w:val="decimal"/>
      <w:lvlText w:val="%4."/>
      <w:lvlJc w:val="left"/>
      <w:pPr>
        <w:ind w:left="4335" w:hanging="360"/>
      </w:pPr>
    </w:lvl>
    <w:lvl w:ilvl="4" w:tplc="04090019" w:tentative="1">
      <w:start w:val="1"/>
      <w:numFmt w:val="lowerLetter"/>
      <w:lvlText w:val="%5."/>
      <w:lvlJc w:val="left"/>
      <w:pPr>
        <w:ind w:left="5055" w:hanging="360"/>
      </w:pPr>
    </w:lvl>
    <w:lvl w:ilvl="5" w:tplc="0409001B" w:tentative="1">
      <w:start w:val="1"/>
      <w:numFmt w:val="lowerRoman"/>
      <w:lvlText w:val="%6."/>
      <w:lvlJc w:val="right"/>
      <w:pPr>
        <w:ind w:left="5775" w:hanging="180"/>
      </w:pPr>
    </w:lvl>
    <w:lvl w:ilvl="6" w:tplc="0409000F" w:tentative="1">
      <w:start w:val="1"/>
      <w:numFmt w:val="decimal"/>
      <w:lvlText w:val="%7."/>
      <w:lvlJc w:val="left"/>
      <w:pPr>
        <w:ind w:left="6495" w:hanging="360"/>
      </w:pPr>
    </w:lvl>
    <w:lvl w:ilvl="7" w:tplc="04090019" w:tentative="1">
      <w:start w:val="1"/>
      <w:numFmt w:val="lowerLetter"/>
      <w:lvlText w:val="%8."/>
      <w:lvlJc w:val="left"/>
      <w:pPr>
        <w:ind w:left="7215" w:hanging="360"/>
      </w:pPr>
    </w:lvl>
    <w:lvl w:ilvl="8" w:tplc="0409001B" w:tentative="1">
      <w:start w:val="1"/>
      <w:numFmt w:val="lowerRoman"/>
      <w:lvlText w:val="%9."/>
      <w:lvlJc w:val="right"/>
      <w:pPr>
        <w:ind w:left="7935" w:hanging="180"/>
      </w:pPr>
    </w:lvl>
  </w:abstractNum>
  <w:abstractNum w:abstractNumId="1" w15:restartNumberingAfterBreak="0">
    <w:nsid w:val="04E14B7A"/>
    <w:multiLevelType w:val="hybridMultilevel"/>
    <w:tmpl w:val="07A22542"/>
    <w:lvl w:ilvl="0" w:tplc="0409001B">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E456B3"/>
    <w:multiLevelType w:val="hybridMultilevel"/>
    <w:tmpl w:val="D0E44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80C32"/>
    <w:multiLevelType w:val="hybridMultilevel"/>
    <w:tmpl w:val="84FC422A"/>
    <w:lvl w:ilvl="0" w:tplc="86AE643A">
      <w:start w:val="1"/>
      <w:numFmt w:val="decimal"/>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4" w15:restartNumberingAfterBreak="0">
    <w:nsid w:val="23287FE1"/>
    <w:multiLevelType w:val="hybridMultilevel"/>
    <w:tmpl w:val="0C6CFD66"/>
    <w:lvl w:ilvl="0" w:tplc="60228A8E">
      <w:start w:val="4"/>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259B555F"/>
    <w:multiLevelType w:val="hybridMultilevel"/>
    <w:tmpl w:val="E2B03AC0"/>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A0C85"/>
    <w:multiLevelType w:val="hybridMultilevel"/>
    <w:tmpl w:val="EAD20C48"/>
    <w:lvl w:ilvl="0" w:tplc="0409001B">
      <w:start w:val="1"/>
      <w:numFmt w:val="lowerRoman"/>
      <w:lvlText w:val="%1."/>
      <w:lvlJc w:val="righ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991EEC"/>
    <w:multiLevelType w:val="hybridMultilevel"/>
    <w:tmpl w:val="CDB8B596"/>
    <w:lvl w:ilvl="0" w:tplc="D1D6BC8C">
      <w:start w:val="5"/>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34A43B7A"/>
    <w:multiLevelType w:val="multilevel"/>
    <w:tmpl w:val="E2C0A488"/>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473200D1"/>
    <w:multiLevelType w:val="hybridMultilevel"/>
    <w:tmpl w:val="CB12F01E"/>
    <w:lvl w:ilvl="0" w:tplc="B1242438">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DC5B8B"/>
    <w:multiLevelType w:val="hybridMultilevel"/>
    <w:tmpl w:val="612C4500"/>
    <w:lvl w:ilvl="0" w:tplc="B1242438">
      <w:start w:val="1"/>
      <w:numFmt w:val="lowerRoman"/>
      <w:lvlText w:val="%1."/>
      <w:lvlJc w:val="righ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A273FB"/>
    <w:multiLevelType w:val="hybridMultilevel"/>
    <w:tmpl w:val="3C4A3766"/>
    <w:lvl w:ilvl="0" w:tplc="CB841FAA">
      <w:start w:val="1"/>
      <w:numFmt w:val="upperLetter"/>
      <w:lvlText w:val="%1."/>
      <w:lvlJc w:val="left"/>
      <w:pPr>
        <w:ind w:left="375" w:hanging="375"/>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27A4816"/>
    <w:multiLevelType w:val="hybridMultilevel"/>
    <w:tmpl w:val="CB589782"/>
    <w:lvl w:ilvl="0" w:tplc="951A732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A85142"/>
    <w:multiLevelType w:val="hybridMultilevel"/>
    <w:tmpl w:val="36188C88"/>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7E7760"/>
    <w:multiLevelType w:val="hybridMultilevel"/>
    <w:tmpl w:val="E7A2BF12"/>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1FB0D8A"/>
    <w:multiLevelType w:val="hybridMultilevel"/>
    <w:tmpl w:val="D1BC9C52"/>
    <w:lvl w:ilvl="0" w:tplc="2CF4D40A">
      <w:start w:val="3"/>
      <w:numFmt w:val="upperLetter"/>
      <w:lvlText w:val="%1."/>
      <w:lvlJc w:val="left"/>
      <w:pPr>
        <w:ind w:left="360" w:hanging="360"/>
      </w:pPr>
      <w:rPr>
        <w:rFonts w:hint="default"/>
        <w:b w:val="0"/>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AB71557"/>
    <w:multiLevelType w:val="hybridMultilevel"/>
    <w:tmpl w:val="55447434"/>
    <w:lvl w:ilvl="0" w:tplc="39A8302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BB17AED"/>
    <w:multiLevelType w:val="hybridMultilevel"/>
    <w:tmpl w:val="E5AEC522"/>
    <w:lvl w:ilvl="0" w:tplc="8A3809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0A4464"/>
    <w:multiLevelType w:val="hybridMultilevel"/>
    <w:tmpl w:val="20B64C50"/>
    <w:lvl w:ilvl="0" w:tplc="79508926">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19" w15:restartNumberingAfterBreak="0">
    <w:nsid w:val="7FB11059"/>
    <w:multiLevelType w:val="hybridMultilevel"/>
    <w:tmpl w:val="D230F1C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num>
  <w:num w:numId="8">
    <w:abstractNumId w:val="17"/>
  </w:num>
  <w:num w:numId="9">
    <w:abstractNumId w:val="1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0"/>
  </w:num>
  <w:num w:numId="13">
    <w:abstractNumId w:val="4"/>
  </w:num>
  <w:num w:numId="14">
    <w:abstractNumId w:val="2"/>
  </w:num>
  <w:num w:numId="15">
    <w:abstractNumId w:val="5"/>
  </w:num>
  <w:num w:numId="16">
    <w:abstractNumId w:val="8"/>
  </w:num>
  <w:num w:numId="17">
    <w:abstractNumId w:val="19"/>
  </w:num>
  <w:num w:numId="18">
    <w:abstractNumId w:val="13"/>
  </w:num>
  <w:num w:numId="19">
    <w:abstractNumId w:val="14"/>
  </w:num>
  <w:num w:numId="20">
    <w:abstractNumId w:val="9"/>
  </w:num>
  <w:num w:numId="21">
    <w:abstractNumId w:val="1"/>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1NDE0N7Q0MbIAspR0lIJTi4sz8/NACoxrAdgRBqwsAAAA"/>
  </w:docVars>
  <w:rsids>
    <w:rsidRoot w:val="001E12B8"/>
    <w:rsid w:val="00004A0F"/>
    <w:rsid w:val="00005CA9"/>
    <w:rsid w:val="00010438"/>
    <w:rsid w:val="0001079A"/>
    <w:rsid w:val="0005023A"/>
    <w:rsid w:val="0006798F"/>
    <w:rsid w:val="000765EA"/>
    <w:rsid w:val="00077A7D"/>
    <w:rsid w:val="00094BBC"/>
    <w:rsid w:val="0009673B"/>
    <w:rsid w:val="000A13DA"/>
    <w:rsid w:val="000B56FC"/>
    <w:rsid w:val="000D3632"/>
    <w:rsid w:val="000E60C4"/>
    <w:rsid w:val="000F7885"/>
    <w:rsid w:val="001160C5"/>
    <w:rsid w:val="00120327"/>
    <w:rsid w:val="00122B89"/>
    <w:rsid w:val="001373D3"/>
    <w:rsid w:val="00137BAA"/>
    <w:rsid w:val="00197DF4"/>
    <w:rsid w:val="001A37D4"/>
    <w:rsid w:val="001A58FE"/>
    <w:rsid w:val="001C21B5"/>
    <w:rsid w:val="001D410E"/>
    <w:rsid w:val="001D7059"/>
    <w:rsid w:val="001E0BA5"/>
    <w:rsid w:val="001E12B8"/>
    <w:rsid w:val="001E5374"/>
    <w:rsid w:val="001F208B"/>
    <w:rsid w:val="00214615"/>
    <w:rsid w:val="00220E53"/>
    <w:rsid w:val="00230E92"/>
    <w:rsid w:val="00243D45"/>
    <w:rsid w:val="0026539D"/>
    <w:rsid w:val="00267ABB"/>
    <w:rsid w:val="0027482C"/>
    <w:rsid w:val="002873B1"/>
    <w:rsid w:val="00291878"/>
    <w:rsid w:val="00295C98"/>
    <w:rsid w:val="00296A9F"/>
    <w:rsid w:val="002A3A8A"/>
    <w:rsid w:val="002B192B"/>
    <w:rsid w:val="002B44C0"/>
    <w:rsid w:val="002C4D91"/>
    <w:rsid w:val="002C66C3"/>
    <w:rsid w:val="002E638B"/>
    <w:rsid w:val="0030181A"/>
    <w:rsid w:val="00314FDA"/>
    <w:rsid w:val="003242D3"/>
    <w:rsid w:val="003319BB"/>
    <w:rsid w:val="003350FF"/>
    <w:rsid w:val="003376CA"/>
    <w:rsid w:val="00337992"/>
    <w:rsid w:val="00340EF2"/>
    <w:rsid w:val="00350452"/>
    <w:rsid w:val="00353BC3"/>
    <w:rsid w:val="003628EC"/>
    <w:rsid w:val="00365983"/>
    <w:rsid w:val="00373F55"/>
    <w:rsid w:val="00384080"/>
    <w:rsid w:val="003917A5"/>
    <w:rsid w:val="00394E03"/>
    <w:rsid w:val="003B4F0A"/>
    <w:rsid w:val="003C561A"/>
    <w:rsid w:val="003D5A9F"/>
    <w:rsid w:val="003D74F5"/>
    <w:rsid w:val="003E4ACB"/>
    <w:rsid w:val="003E5894"/>
    <w:rsid w:val="004035E0"/>
    <w:rsid w:val="004149BA"/>
    <w:rsid w:val="00416EA3"/>
    <w:rsid w:val="00431121"/>
    <w:rsid w:val="00435308"/>
    <w:rsid w:val="004408D4"/>
    <w:rsid w:val="004451A1"/>
    <w:rsid w:val="00447CC4"/>
    <w:rsid w:val="00463F14"/>
    <w:rsid w:val="00471C7A"/>
    <w:rsid w:val="004809D6"/>
    <w:rsid w:val="0049393B"/>
    <w:rsid w:val="004A2B34"/>
    <w:rsid w:val="004A4DCC"/>
    <w:rsid w:val="004C0AEE"/>
    <w:rsid w:val="004D4285"/>
    <w:rsid w:val="004D7570"/>
    <w:rsid w:val="004D79D3"/>
    <w:rsid w:val="004E0535"/>
    <w:rsid w:val="004E1AA2"/>
    <w:rsid w:val="004F0486"/>
    <w:rsid w:val="005025EC"/>
    <w:rsid w:val="00507649"/>
    <w:rsid w:val="0051229F"/>
    <w:rsid w:val="00521302"/>
    <w:rsid w:val="00523378"/>
    <w:rsid w:val="005243AB"/>
    <w:rsid w:val="005333C0"/>
    <w:rsid w:val="00534BB1"/>
    <w:rsid w:val="00547746"/>
    <w:rsid w:val="00552C07"/>
    <w:rsid w:val="00552FF5"/>
    <w:rsid w:val="005752A2"/>
    <w:rsid w:val="005821C6"/>
    <w:rsid w:val="00587388"/>
    <w:rsid w:val="005A6586"/>
    <w:rsid w:val="005D216A"/>
    <w:rsid w:val="005E0484"/>
    <w:rsid w:val="005E307A"/>
    <w:rsid w:val="005F1E81"/>
    <w:rsid w:val="00605CBA"/>
    <w:rsid w:val="0061090C"/>
    <w:rsid w:val="006233B8"/>
    <w:rsid w:val="00634682"/>
    <w:rsid w:val="00634EC8"/>
    <w:rsid w:val="00635C0D"/>
    <w:rsid w:val="00655B38"/>
    <w:rsid w:val="00661153"/>
    <w:rsid w:val="00664932"/>
    <w:rsid w:val="00684073"/>
    <w:rsid w:val="0068559F"/>
    <w:rsid w:val="00690AFB"/>
    <w:rsid w:val="006943EA"/>
    <w:rsid w:val="006A7644"/>
    <w:rsid w:val="006B3E40"/>
    <w:rsid w:val="006C11BE"/>
    <w:rsid w:val="006D0069"/>
    <w:rsid w:val="006D238A"/>
    <w:rsid w:val="006D513E"/>
    <w:rsid w:val="00714F16"/>
    <w:rsid w:val="007252D3"/>
    <w:rsid w:val="00725B39"/>
    <w:rsid w:val="007436D8"/>
    <w:rsid w:val="0076169D"/>
    <w:rsid w:val="007628E5"/>
    <w:rsid w:val="00762CCF"/>
    <w:rsid w:val="007661DF"/>
    <w:rsid w:val="007708E6"/>
    <w:rsid w:val="0077745F"/>
    <w:rsid w:val="007832D0"/>
    <w:rsid w:val="007935AB"/>
    <w:rsid w:val="00795F7D"/>
    <w:rsid w:val="007B1643"/>
    <w:rsid w:val="007C0CFE"/>
    <w:rsid w:val="007C4384"/>
    <w:rsid w:val="007C728C"/>
    <w:rsid w:val="007E15AF"/>
    <w:rsid w:val="007E2A28"/>
    <w:rsid w:val="008259BF"/>
    <w:rsid w:val="00826493"/>
    <w:rsid w:val="008525A1"/>
    <w:rsid w:val="0085317E"/>
    <w:rsid w:val="00865A64"/>
    <w:rsid w:val="00875DDF"/>
    <w:rsid w:val="00882EF1"/>
    <w:rsid w:val="00883318"/>
    <w:rsid w:val="008969E4"/>
    <w:rsid w:val="008A0970"/>
    <w:rsid w:val="008B08FA"/>
    <w:rsid w:val="008B2470"/>
    <w:rsid w:val="008B32BE"/>
    <w:rsid w:val="008C0751"/>
    <w:rsid w:val="008C243C"/>
    <w:rsid w:val="008C6366"/>
    <w:rsid w:val="008D413B"/>
    <w:rsid w:val="008E0FC1"/>
    <w:rsid w:val="008E40A1"/>
    <w:rsid w:val="008E43D7"/>
    <w:rsid w:val="008E4B81"/>
    <w:rsid w:val="008E5247"/>
    <w:rsid w:val="008F2454"/>
    <w:rsid w:val="00900A15"/>
    <w:rsid w:val="009111C7"/>
    <w:rsid w:val="00933113"/>
    <w:rsid w:val="00947124"/>
    <w:rsid w:val="009609EB"/>
    <w:rsid w:val="009624DE"/>
    <w:rsid w:val="00965150"/>
    <w:rsid w:val="00965598"/>
    <w:rsid w:val="009668C8"/>
    <w:rsid w:val="0098463F"/>
    <w:rsid w:val="0098679E"/>
    <w:rsid w:val="009940F4"/>
    <w:rsid w:val="009A1E86"/>
    <w:rsid w:val="009A44CB"/>
    <w:rsid w:val="009B2404"/>
    <w:rsid w:val="009B2E8C"/>
    <w:rsid w:val="009C3154"/>
    <w:rsid w:val="009C46E4"/>
    <w:rsid w:val="009C7E36"/>
    <w:rsid w:val="009D35B7"/>
    <w:rsid w:val="009E48AB"/>
    <w:rsid w:val="00A02DE3"/>
    <w:rsid w:val="00A07FCE"/>
    <w:rsid w:val="00A41F8C"/>
    <w:rsid w:val="00A4647C"/>
    <w:rsid w:val="00A513BE"/>
    <w:rsid w:val="00A544DD"/>
    <w:rsid w:val="00A572D1"/>
    <w:rsid w:val="00A619E2"/>
    <w:rsid w:val="00A62E14"/>
    <w:rsid w:val="00A6708A"/>
    <w:rsid w:val="00A70E20"/>
    <w:rsid w:val="00A7374E"/>
    <w:rsid w:val="00A7763E"/>
    <w:rsid w:val="00A936CF"/>
    <w:rsid w:val="00A95656"/>
    <w:rsid w:val="00AB01E1"/>
    <w:rsid w:val="00AC049A"/>
    <w:rsid w:val="00AC3C49"/>
    <w:rsid w:val="00AD7711"/>
    <w:rsid w:val="00AE6556"/>
    <w:rsid w:val="00AE7806"/>
    <w:rsid w:val="00B002A6"/>
    <w:rsid w:val="00B012FE"/>
    <w:rsid w:val="00B12B4F"/>
    <w:rsid w:val="00B17AAA"/>
    <w:rsid w:val="00B31926"/>
    <w:rsid w:val="00B511D4"/>
    <w:rsid w:val="00B63B45"/>
    <w:rsid w:val="00B7193E"/>
    <w:rsid w:val="00B75242"/>
    <w:rsid w:val="00B944C3"/>
    <w:rsid w:val="00B9754B"/>
    <w:rsid w:val="00BA050B"/>
    <w:rsid w:val="00BA2514"/>
    <w:rsid w:val="00BB0142"/>
    <w:rsid w:val="00BB148D"/>
    <w:rsid w:val="00BB2847"/>
    <w:rsid w:val="00BB2C5C"/>
    <w:rsid w:val="00BB5B9B"/>
    <w:rsid w:val="00BB5BB8"/>
    <w:rsid w:val="00BC279A"/>
    <w:rsid w:val="00BF39C7"/>
    <w:rsid w:val="00C00E53"/>
    <w:rsid w:val="00C02C33"/>
    <w:rsid w:val="00C04902"/>
    <w:rsid w:val="00C05888"/>
    <w:rsid w:val="00C10C6F"/>
    <w:rsid w:val="00C4501B"/>
    <w:rsid w:val="00C60295"/>
    <w:rsid w:val="00C6677E"/>
    <w:rsid w:val="00C71F78"/>
    <w:rsid w:val="00C769B2"/>
    <w:rsid w:val="00C856AA"/>
    <w:rsid w:val="00C86DE7"/>
    <w:rsid w:val="00C906B1"/>
    <w:rsid w:val="00C95E36"/>
    <w:rsid w:val="00CA5D9F"/>
    <w:rsid w:val="00CB0B02"/>
    <w:rsid w:val="00CB2880"/>
    <w:rsid w:val="00CE3B1A"/>
    <w:rsid w:val="00CF3D60"/>
    <w:rsid w:val="00D14277"/>
    <w:rsid w:val="00D15376"/>
    <w:rsid w:val="00D17B15"/>
    <w:rsid w:val="00D2192B"/>
    <w:rsid w:val="00D224AC"/>
    <w:rsid w:val="00D24E06"/>
    <w:rsid w:val="00D3152E"/>
    <w:rsid w:val="00D41256"/>
    <w:rsid w:val="00D43EA2"/>
    <w:rsid w:val="00D82047"/>
    <w:rsid w:val="00D847B5"/>
    <w:rsid w:val="00D902B1"/>
    <w:rsid w:val="00D91A63"/>
    <w:rsid w:val="00D9383E"/>
    <w:rsid w:val="00DA79E0"/>
    <w:rsid w:val="00DC45DA"/>
    <w:rsid w:val="00DD2D9F"/>
    <w:rsid w:val="00DE7A8A"/>
    <w:rsid w:val="00E156DF"/>
    <w:rsid w:val="00E22C0D"/>
    <w:rsid w:val="00E25598"/>
    <w:rsid w:val="00E3232B"/>
    <w:rsid w:val="00E40637"/>
    <w:rsid w:val="00E53FAA"/>
    <w:rsid w:val="00E61CE5"/>
    <w:rsid w:val="00E62F45"/>
    <w:rsid w:val="00E66AA0"/>
    <w:rsid w:val="00E7154C"/>
    <w:rsid w:val="00E80C8B"/>
    <w:rsid w:val="00E82CA9"/>
    <w:rsid w:val="00E84660"/>
    <w:rsid w:val="00E901F3"/>
    <w:rsid w:val="00E91D50"/>
    <w:rsid w:val="00E9647B"/>
    <w:rsid w:val="00EA3E55"/>
    <w:rsid w:val="00EB7B15"/>
    <w:rsid w:val="00ED2794"/>
    <w:rsid w:val="00EE060F"/>
    <w:rsid w:val="00EE2E6B"/>
    <w:rsid w:val="00EE7CDD"/>
    <w:rsid w:val="00EF18BE"/>
    <w:rsid w:val="00EF347A"/>
    <w:rsid w:val="00EF4239"/>
    <w:rsid w:val="00F12773"/>
    <w:rsid w:val="00F137B3"/>
    <w:rsid w:val="00F14417"/>
    <w:rsid w:val="00F34C01"/>
    <w:rsid w:val="00F463AE"/>
    <w:rsid w:val="00F503E3"/>
    <w:rsid w:val="00F529CA"/>
    <w:rsid w:val="00F578BB"/>
    <w:rsid w:val="00F66837"/>
    <w:rsid w:val="00F82014"/>
    <w:rsid w:val="00F83806"/>
    <w:rsid w:val="00F93C68"/>
    <w:rsid w:val="00FA045D"/>
    <w:rsid w:val="00FA2F03"/>
    <w:rsid w:val="00FA7DF3"/>
    <w:rsid w:val="00FA7F48"/>
    <w:rsid w:val="00FC2FB2"/>
    <w:rsid w:val="00FE621C"/>
    <w:rsid w:val="00FF2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C4169"/>
  <w15:docId w15:val="{37A30A50-171D-49E5-A6EF-2F4B7F08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A"/>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40D9"/>
    <w:rPr>
      <w:rFonts w:ascii="Consolas" w:hAnsi="Consolas"/>
      <w:sz w:val="21"/>
      <w:szCs w:val="21"/>
    </w:rPr>
  </w:style>
  <w:style w:type="character" w:customStyle="1" w:styleId="PlainTextChar">
    <w:name w:val="Plain Text Char"/>
    <w:basedOn w:val="DefaultParagraphFont"/>
    <w:link w:val="PlainText"/>
    <w:uiPriority w:val="99"/>
    <w:rsid w:val="000140D9"/>
    <w:rPr>
      <w:rFonts w:ascii="Consolas" w:hAnsi="Consolas"/>
      <w:sz w:val="21"/>
      <w:szCs w:val="21"/>
    </w:rPr>
  </w:style>
  <w:style w:type="paragraph" w:styleId="Header">
    <w:name w:val="header"/>
    <w:basedOn w:val="Normal"/>
    <w:link w:val="HeaderChar"/>
    <w:uiPriority w:val="99"/>
    <w:unhideWhenUsed/>
    <w:rsid w:val="0098679E"/>
    <w:pPr>
      <w:tabs>
        <w:tab w:val="center" w:pos="4680"/>
        <w:tab w:val="right" w:pos="9360"/>
      </w:tabs>
    </w:pPr>
  </w:style>
  <w:style w:type="character" w:customStyle="1" w:styleId="HeaderChar">
    <w:name w:val="Header Char"/>
    <w:basedOn w:val="DefaultParagraphFont"/>
    <w:link w:val="Header"/>
    <w:uiPriority w:val="99"/>
    <w:rsid w:val="0098679E"/>
    <w:rPr>
      <w:rFonts w:ascii="Arial" w:hAnsi="Arial"/>
      <w:sz w:val="28"/>
    </w:rPr>
  </w:style>
  <w:style w:type="paragraph" w:styleId="Footer">
    <w:name w:val="footer"/>
    <w:basedOn w:val="Normal"/>
    <w:link w:val="FooterChar"/>
    <w:uiPriority w:val="99"/>
    <w:unhideWhenUsed/>
    <w:rsid w:val="0098679E"/>
    <w:pPr>
      <w:tabs>
        <w:tab w:val="center" w:pos="4680"/>
        <w:tab w:val="right" w:pos="9360"/>
      </w:tabs>
    </w:pPr>
  </w:style>
  <w:style w:type="character" w:customStyle="1" w:styleId="FooterChar">
    <w:name w:val="Footer Char"/>
    <w:basedOn w:val="DefaultParagraphFont"/>
    <w:link w:val="Footer"/>
    <w:uiPriority w:val="99"/>
    <w:rsid w:val="0098679E"/>
    <w:rPr>
      <w:rFonts w:ascii="Arial" w:hAnsi="Arial"/>
      <w:sz w:val="28"/>
    </w:rPr>
  </w:style>
  <w:style w:type="paragraph" w:styleId="BalloonText">
    <w:name w:val="Balloon Text"/>
    <w:basedOn w:val="Normal"/>
    <w:link w:val="BalloonTextChar"/>
    <w:uiPriority w:val="99"/>
    <w:semiHidden/>
    <w:unhideWhenUsed/>
    <w:rsid w:val="00BC279A"/>
    <w:rPr>
      <w:rFonts w:ascii="Tahoma" w:hAnsi="Tahoma" w:cs="Tahoma"/>
      <w:sz w:val="16"/>
      <w:szCs w:val="16"/>
    </w:rPr>
  </w:style>
  <w:style w:type="character" w:customStyle="1" w:styleId="BalloonTextChar">
    <w:name w:val="Balloon Text Char"/>
    <w:basedOn w:val="DefaultParagraphFont"/>
    <w:link w:val="BalloonText"/>
    <w:uiPriority w:val="99"/>
    <w:semiHidden/>
    <w:rsid w:val="00BC279A"/>
    <w:rPr>
      <w:rFonts w:ascii="Tahoma" w:hAnsi="Tahoma" w:cs="Tahoma"/>
      <w:sz w:val="16"/>
      <w:szCs w:val="16"/>
    </w:rPr>
  </w:style>
  <w:style w:type="paragraph" w:styleId="FootnoteText">
    <w:name w:val="footnote text"/>
    <w:basedOn w:val="Normal"/>
    <w:link w:val="FootnoteTextChar"/>
    <w:uiPriority w:val="99"/>
    <w:semiHidden/>
    <w:unhideWhenUsed/>
    <w:rsid w:val="00AC049A"/>
    <w:rPr>
      <w:sz w:val="20"/>
    </w:rPr>
  </w:style>
  <w:style w:type="character" w:customStyle="1" w:styleId="FootnoteTextChar">
    <w:name w:val="Footnote Text Char"/>
    <w:basedOn w:val="DefaultParagraphFont"/>
    <w:link w:val="FootnoteText"/>
    <w:uiPriority w:val="99"/>
    <w:semiHidden/>
    <w:rsid w:val="00AC049A"/>
    <w:rPr>
      <w:rFonts w:ascii="Arial" w:hAnsi="Arial"/>
    </w:rPr>
  </w:style>
  <w:style w:type="character" w:styleId="FootnoteReference">
    <w:name w:val="footnote reference"/>
    <w:basedOn w:val="DefaultParagraphFont"/>
    <w:uiPriority w:val="99"/>
    <w:semiHidden/>
    <w:unhideWhenUsed/>
    <w:rsid w:val="00AC049A"/>
    <w:rPr>
      <w:vertAlign w:val="superscript"/>
    </w:rPr>
  </w:style>
  <w:style w:type="character" w:styleId="CommentReference">
    <w:name w:val="annotation reference"/>
    <w:basedOn w:val="DefaultParagraphFont"/>
    <w:uiPriority w:val="99"/>
    <w:semiHidden/>
    <w:unhideWhenUsed/>
    <w:rsid w:val="00B63B45"/>
    <w:rPr>
      <w:sz w:val="16"/>
      <w:szCs w:val="16"/>
    </w:rPr>
  </w:style>
  <w:style w:type="paragraph" w:styleId="CommentText">
    <w:name w:val="annotation text"/>
    <w:basedOn w:val="Normal"/>
    <w:link w:val="CommentTextChar"/>
    <w:uiPriority w:val="99"/>
    <w:unhideWhenUsed/>
    <w:rsid w:val="00B63B45"/>
    <w:rPr>
      <w:sz w:val="20"/>
    </w:rPr>
  </w:style>
  <w:style w:type="character" w:customStyle="1" w:styleId="CommentTextChar">
    <w:name w:val="Comment Text Char"/>
    <w:basedOn w:val="DefaultParagraphFont"/>
    <w:link w:val="CommentText"/>
    <w:uiPriority w:val="99"/>
    <w:rsid w:val="00B63B45"/>
    <w:rPr>
      <w:rFonts w:ascii="Arial" w:hAnsi="Arial"/>
    </w:rPr>
  </w:style>
  <w:style w:type="paragraph" w:styleId="CommentSubject">
    <w:name w:val="annotation subject"/>
    <w:basedOn w:val="CommentText"/>
    <w:next w:val="CommentText"/>
    <w:link w:val="CommentSubjectChar"/>
    <w:uiPriority w:val="99"/>
    <w:semiHidden/>
    <w:unhideWhenUsed/>
    <w:rsid w:val="00B63B45"/>
    <w:rPr>
      <w:b/>
      <w:bCs/>
    </w:rPr>
  </w:style>
  <w:style w:type="character" w:customStyle="1" w:styleId="CommentSubjectChar">
    <w:name w:val="Comment Subject Char"/>
    <w:basedOn w:val="CommentTextChar"/>
    <w:link w:val="CommentSubject"/>
    <w:uiPriority w:val="99"/>
    <w:semiHidden/>
    <w:rsid w:val="00B63B45"/>
    <w:rPr>
      <w:rFonts w:ascii="Arial" w:hAnsi="Arial"/>
      <w:b/>
      <w:bCs/>
    </w:rPr>
  </w:style>
  <w:style w:type="paragraph" w:styleId="ListParagraph">
    <w:name w:val="List Paragraph"/>
    <w:basedOn w:val="Normal"/>
    <w:uiPriority w:val="34"/>
    <w:qFormat/>
    <w:rsid w:val="001D7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484">
      <w:bodyDiv w:val="1"/>
      <w:marLeft w:val="0"/>
      <w:marRight w:val="0"/>
      <w:marTop w:val="0"/>
      <w:marBottom w:val="0"/>
      <w:divBdr>
        <w:top w:val="none" w:sz="0" w:space="0" w:color="auto"/>
        <w:left w:val="none" w:sz="0" w:space="0" w:color="auto"/>
        <w:bottom w:val="none" w:sz="0" w:space="0" w:color="auto"/>
        <w:right w:val="none" w:sz="0" w:space="0" w:color="auto"/>
      </w:divBdr>
    </w:div>
    <w:div w:id="54133763">
      <w:bodyDiv w:val="1"/>
      <w:marLeft w:val="0"/>
      <w:marRight w:val="0"/>
      <w:marTop w:val="0"/>
      <w:marBottom w:val="0"/>
      <w:divBdr>
        <w:top w:val="none" w:sz="0" w:space="0" w:color="auto"/>
        <w:left w:val="none" w:sz="0" w:space="0" w:color="auto"/>
        <w:bottom w:val="none" w:sz="0" w:space="0" w:color="auto"/>
        <w:right w:val="none" w:sz="0" w:space="0" w:color="auto"/>
      </w:divBdr>
    </w:div>
    <w:div w:id="93749089">
      <w:bodyDiv w:val="1"/>
      <w:marLeft w:val="0"/>
      <w:marRight w:val="0"/>
      <w:marTop w:val="0"/>
      <w:marBottom w:val="0"/>
      <w:divBdr>
        <w:top w:val="none" w:sz="0" w:space="0" w:color="auto"/>
        <w:left w:val="none" w:sz="0" w:space="0" w:color="auto"/>
        <w:bottom w:val="none" w:sz="0" w:space="0" w:color="auto"/>
        <w:right w:val="none" w:sz="0" w:space="0" w:color="auto"/>
      </w:divBdr>
    </w:div>
    <w:div w:id="107700046">
      <w:bodyDiv w:val="1"/>
      <w:marLeft w:val="0"/>
      <w:marRight w:val="0"/>
      <w:marTop w:val="0"/>
      <w:marBottom w:val="0"/>
      <w:divBdr>
        <w:top w:val="none" w:sz="0" w:space="0" w:color="auto"/>
        <w:left w:val="none" w:sz="0" w:space="0" w:color="auto"/>
        <w:bottom w:val="none" w:sz="0" w:space="0" w:color="auto"/>
        <w:right w:val="none" w:sz="0" w:space="0" w:color="auto"/>
      </w:divBdr>
    </w:div>
    <w:div w:id="309210276">
      <w:bodyDiv w:val="1"/>
      <w:marLeft w:val="0"/>
      <w:marRight w:val="0"/>
      <w:marTop w:val="0"/>
      <w:marBottom w:val="0"/>
      <w:divBdr>
        <w:top w:val="none" w:sz="0" w:space="0" w:color="auto"/>
        <w:left w:val="none" w:sz="0" w:space="0" w:color="auto"/>
        <w:bottom w:val="none" w:sz="0" w:space="0" w:color="auto"/>
        <w:right w:val="none" w:sz="0" w:space="0" w:color="auto"/>
      </w:divBdr>
    </w:div>
    <w:div w:id="518936095">
      <w:bodyDiv w:val="1"/>
      <w:marLeft w:val="0"/>
      <w:marRight w:val="0"/>
      <w:marTop w:val="0"/>
      <w:marBottom w:val="0"/>
      <w:divBdr>
        <w:top w:val="none" w:sz="0" w:space="0" w:color="auto"/>
        <w:left w:val="none" w:sz="0" w:space="0" w:color="auto"/>
        <w:bottom w:val="none" w:sz="0" w:space="0" w:color="auto"/>
        <w:right w:val="none" w:sz="0" w:space="0" w:color="auto"/>
      </w:divBdr>
    </w:div>
    <w:div w:id="801535339">
      <w:bodyDiv w:val="1"/>
      <w:marLeft w:val="0"/>
      <w:marRight w:val="0"/>
      <w:marTop w:val="0"/>
      <w:marBottom w:val="0"/>
      <w:divBdr>
        <w:top w:val="none" w:sz="0" w:space="0" w:color="auto"/>
        <w:left w:val="none" w:sz="0" w:space="0" w:color="auto"/>
        <w:bottom w:val="none" w:sz="0" w:space="0" w:color="auto"/>
        <w:right w:val="none" w:sz="0" w:space="0" w:color="auto"/>
      </w:divBdr>
    </w:div>
    <w:div w:id="888806113">
      <w:bodyDiv w:val="1"/>
      <w:marLeft w:val="0"/>
      <w:marRight w:val="0"/>
      <w:marTop w:val="0"/>
      <w:marBottom w:val="0"/>
      <w:divBdr>
        <w:top w:val="none" w:sz="0" w:space="0" w:color="auto"/>
        <w:left w:val="none" w:sz="0" w:space="0" w:color="auto"/>
        <w:bottom w:val="none" w:sz="0" w:space="0" w:color="auto"/>
        <w:right w:val="none" w:sz="0" w:space="0" w:color="auto"/>
      </w:divBdr>
    </w:div>
    <w:div w:id="1064259832">
      <w:bodyDiv w:val="1"/>
      <w:marLeft w:val="0"/>
      <w:marRight w:val="0"/>
      <w:marTop w:val="0"/>
      <w:marBottom w:val="0"/>
      <w:divBdr>
        <w:top w:val="none" w:sz="0" w:space="0" w:color="auto"/>
        <w:left w:val="none" w:sz="0" w:space="0" w:color="auto"/>
        <w:bottom w:val="none" w:sz="0" w:space="0" w:color="auto"/>
        <w:right w:val="none" w:sz="0" w:space="0" w:color="auto"/>
      </w:divBdr>
    </w:div>
    <w:div w:id="1388652255">
      <w:bodyDiv w:val="1"/>
      <w:marLeft w:val="0"/>
      <w:marRight w:val="0"/>
      <w:marTop w:val="0"/>
      <w:marBottom w:val="0"/>
      <w:divBdr>
        <w:top w:val="none" w:sz="0" w:space="0" w:color="auto"/>
        <w:left w:val="none" w:sz="0" w:space="0" w:color="auto"/>
        <w:bottom w:val="none" w:sz="0" w:space="0" w:color="auto"/>
        <w:right w:val="none" w:sz="0" w:space="0" w:color="auto"/>
      </w:divBdr>
    </w:div>
    <w:div w:id="1532454512">
      <w:bodyDiv w:val="1"/>
      <w:marLeft w:val="0"/>
      <w:marRight w:val="0"/>
      <w:marTop w:val="0"/>
      <w:marBottom w:val="0"/>
      <w:divBdr>
        <w:top w:val="none" w:sz="0" w:space="0" w:color="auto"/>
        <w:left w:val="none" w:sz="0" w:space="0" w:color="auto"/>
        <w:bottom w:val="none" w:sz="0" w:space="0" w:color="auto"/>
        <w:right w:val="none" w:sz="0" w:space="0" w:color="auto"/>
      </w:divBdr>
    </w:div>
    <w:div w:id="1671566615">
      <w:bodyDiv w:val="1"/>
      <w:marLeft w:val="0"/>
      <w:marRight w:val="0"/>
      <w:marTop w:val="0"/>
      <w:marBottom w:val="0"/>
      <w:divBdr>
        <w:top w:val="none" w:sz="0" w:space="0" w:color="auto"/>
        <w:left w:val="none" w:sz="0" w:space="0" w:color="auto"/>
        <w:bottom w:val="none" w:sz="0" w:space="0" w:color="auto"/>
        <w:right w:val="none" w:sz="0" w:space="0" w:color="auto"/>
      </w:divBdr>
    </w:div>
    <w:div w:id="192645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47E5C-BDE5-4B5D-9E55-896F6ED2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873</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rblack</dc:creator>
  <cp:lastModifiedBy>Skeens, Tamara J@DOR</cp:lastModifiedBy>
  <cp:revision>14</cp:revision>
  <cp:lastPrinted>2019-07-24T20:52:00Z</cp:lastPrinted>
  <dcterms:created xsi:type="dcterms:W3CDTF">2021-11-22T17:43:00Z</dcterms:created>
  <dcterms:modified xsi:type="dcterms:W3CDTF">2021-11-23T00:20:00Z</dcterms:modified>
</cp:coreProperties>
</file>